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21C9">
      <w:pPr>
        <w:spacing w:line="360" w:lineRule="auto"/>
        <w:jc w:val="center"/>
        <w:rPr>
          <w:rFonts w:hint="eastAsia" w:ascii="仿宋" w:hAnsi="仿宋" w:eastAsia="仿宋"/>
          <w:b/>
          <w:color w:val="auto"/>
          <w:sz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6"/>
          <w:highlight w:val="none"/>
          <w:lang w:val="en-US" w:eastAsia="zh-CN"/>
        </w:rPr>
        <w:t>2025年</w:t>
      </w:r>
      <w:r>
        <w:rPr>
          <w:rFonts w:hint="eastAsia" w:ascii="仿宋" w:hAnsi="仿宋" w:eastAsia="仿宋"/>
          <w:b/>
          <w:color w:val="auto"/>
          <w:sz w:val="36"/>
          <w:highlight w:val="none"/>
        </w:rPr>
        <w:t>南京大学后勤服务集团南苑会议中心客房棉织品采购</w:t>
      </w:r>
      <w:r>
        <w:rPr>
          <w:rFonts w:hint="eastAsia" w:ascii="仿宋" w:hAnsi="仿宋" w:eastAsia="仿宋"/>
          <w:b/>
          <w:color w:val="auto"/>
          <w:sz w:val="36"/>
          <w:highlight w:val="none"/>
          <w:lang w:eastAsia="zh-CN"/>
        </w:rPr>
        <w:t>项目</w:t>
      </w:r>
      <w:r>
        <w:rPr>
          <w:rFonts w:hint="eastAsia" w:ascii="仿宋" w:hAnsi="仿宋" w:eastAsia="仿宋"/>
          <w:b/>
          <w:color w:val="auto"/>
          <w:sz w:val="36"/>
          <w:highlight w:val="none"/>
          <w:lang w:val="en-US" w:eastAsia="zh-CN"/>
        </w:rPr>
        <w:t>需求清单</w:t>
      </w:r>
    </w:p>
    <w:tbl>
      <w:tblPr>
        <w:tblStyle w:val="3"/>
        <w:tblW w:w="13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88"/>
        <w:gridCol w:w="1822"/>
        <w:gridCol w:w="1371"/>
        <w:gridCol w:w="1286"/>
        <w:gridCol w:w="7749"/>
      </w:tblGrid>
      <w:tr w14:paraId="4B15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7950F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EE2A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产品名称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B6231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床型（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val="en-US" w:eastAsia="zh-CN" w:bidi="ar"/>
              </w:rPr>
              <w:t>cm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8D5A3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尺寸（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val="en-US" w:eastAsia="zh-CN" w:bidi="ar"/>
              </w:rPr>
              <w:t>cm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7D8A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val="en-US" w:eastAsia="zh-CN" w:bidi="ar"/>
              </w:rPr>
              <w:t>预估采购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数量</w:t>
            </w:r>
          </w:p>
          <w:p w14:paraId="535D89FA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eastAsia="zh-CN" w:bidi="ar"/>
              </w:rPr>
              <w:t>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val="en-US" w:eastAsia="zh-CN" w:bidi="ar"/>
              </w:rPr>
              <w:t>/只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7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54F5C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2"/>
                <w:highlight w:val="none"/>
              </w:rPr>
              <w:t>技术参数</w:t>
            </w:r>
          </w:p>
        </w:tc>
      </w:tr>
      <w:tr w14:paraId="5D3A5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8A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1</w:t>
            </w:r>
          </w:p>
        </w:tc>
        <w:tc>
          <w:tcPr>
            <w:tcW w:w="7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743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床单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92DB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E4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300*220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D6E57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536</w:t>
            </w:r>
          </w:p>
        </w:tc>
        <w:tc>
          <w:tcPr>
            <w:tcW w:w="7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4C2A8">
            <w:pPr>
              <w:pStyle w:val="2"/>
              <w:numPr>
                <w:ilvl w:val="0"/>
                <w:numId w:val="1"/>
              </w:numPr>
              <w:ind w:leftChars="0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提供第三方检测机构出具的带CMA标识的检测报告。</w:t>
            </w:r>
          </w:p>
          <w:p w14:paraId="1539202E">
            <w:pPr>
              <w:pStyle w:val="2"/>
              <w:numPr>
                <w:ilvl w:val="0"/>
                <w:numId w:val="1"/>
              </w:numPr>
              <w:ind w:leftChars="0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面料：100%全棉精梳长绒棉，漂白精梳。 </w:t>
            </w:r>
          </w:p>
          <w:p w14:paraId="04BF80EB">
            <w:pPr>
              <w:pStyle w:val="2"/>
              <w:numPr>
                <w:ilvl w:val="0"/>
                <w:numId w:val="1"/>
              </w:numPr>
              <w:ind w:leftChars="0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纱织密度≥60S*40S，纱线总根数≥T300。</w:t>
            </w:r>
          </w:p>
          <w:p w14:paraId="7EC7BDF9">
            <w:pPr>
              <w:pStyle w:val="2"/>
              <w:numPr>
                <w:ilvl w:val="0"/>
                <w:numId w:val="1"/>
              </w:numPr>
              <w:ind w:leftChars="0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2737960C">
            <w:pPr>
              <w:pStyle w:val="2"/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工艺：四边1cm卷边，缝色线区分床型，车酒店标识（水洗标）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A058513">
            <w:pPr>
              <w:pStyle w:val="2"/>
              <w:numPr>
                <w:ilvl w:val="0"/>
                <w:numId w:val="1"/>
              </w:numPr>
              <w:ind w:leftChars="0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面料符合GB/T22800-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《旅游饭店用纺织品》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客房床上用品系列产品内在质量要求中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合格品：“断裂强力（N）≧250，水洗尺寸变化率（%）+3.0～-6.0</w:t>
            </w:r>
            <w:r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的要求。</w:t>
            </w:r>
          </w:p>
        </w:tc>
      </w:tr>
      <w:tr w14:paraId="2B5B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354E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4DBBE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0515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床体135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/150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AF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300*240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42C5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7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33A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14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28C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2</w:t>
            </w:r>
          </w:p>
        </w:tc>
        <w:tc>
          <w:tcPr>
            <w:tcW w:w="7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B5D1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被套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9415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36299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A60DC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536</w:t>
            </w:r>
          </w:p>
        </w:tc>
        <w:tc>
          <w:tcPr>
            <w:tcW w:w="7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E9C1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提供第三方检测机构出具的带CMA标识的检测报告。</w:t>
            </w:r>
          </w:p>
          <w:p w14:paraId="4B45A811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面料：100%全棉精梳长绒棉，漂白精梳定制提花。</w:t>
            </w:r>
          </w:p>
          <w:p w14:paraId="2481E00D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纱织密度≥60S*40S，纱线总根数≥T300。</w:t>
            </w:r>
          </w:p>
          <w:p w14:paraId="545BE43E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78C8CFB1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工艺：三周5cm飞边，尾中开口，尾部上下层5cm宽边，缝色线区分床型，需要车酒店标识（水洗标），内侧边三针五线锁边，外侧不压明线。                                    </w:t>
            </w:r>
          </w:p>
          <w:p w14:paraId="4DA501F8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面料符合GB/T22800--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《旅游饭店用纺织品》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客房床上用品系列产品内在质量要求中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合格品：“断裂强力（N）≧250，水洗尺寸变化率（%）+3.0～-6.0”的要求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E6FE5AA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可提供15种以上提花图案备选。</w:t>
            </w:r>
          </w:p>
          <w:p w14:paraId="4F38AC76">
            <w:pPr>
              <w:numPr>
                <w:ilvl w:val="0"/>
                <w:numId w:val="0"/>
              </w:numPr>
              <w:spacing w:line="312" w:lineRule="auto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可根据采购人需求定制图案。</w:t>
            </w:r>
          </w:p>
        </w:tc>
      </w:tr>
      <w:tr w14:paraId="47E3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F2FF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3A1F9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BD4D4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床体135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/150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B6334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807D5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7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8F616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20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B6B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3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A19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枕套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D4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D409C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78*48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3B01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1272</w:t>
            </w:r>
          </w:p>
        </w:tc>
        <w:tc>
          <w:tcPr>
            <w:tcW w:w="7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5D67B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</w:p>
          <w:p w14:paraId="443419D1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面料：100%全棉精梳长绒棉，漂白精梳定制提花。</w:t>
            </w:r>
          </w:p>
          <w:p w14:paraId="602F7BDC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纱织密度≥60S*40S，纱线总根数≥T300。</w:t>
            </w:r>
          </w:p>
          <w:p w14:paraId="5AB5FC12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7BBA2D4B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工艺：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飞边，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背部压舌，车酒店标识（水洗标）。                                    </w:t>
            </w:r>
          </w:p>
          <w:p w14:paraId="27F905C3">
            <w:pPr>
              <w:pStyle w:val="2"/>
              <w:numPr>
                <w:ilvl w:val="0"/>
                <w:numId w:val="0"/>
              </w:numP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面料符合GB/T22800--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《旅游饭店用纺织品》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客房床上用品系列产品内在质量要求中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合格品：“断裂强力（N）≧250，水洗尺寸变化率（%）+3.0～-6.0”的要求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3192A1C2">
            <w:pPr>
              <w:numPr>
                <w:ilvl w:val="0"/>
                <w:numId w:val="0"/>
              </w:numPr>
              <w:spacing w:line="312" w:lineRule="auto"/>
              <w:ind w:leftChars="0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可提供15种以上提花图案备选（提供产品图册）。</w:t>
            </w:r>
          </w:p>
          <w:p w14:paraId="630DC6F3">
            <w:pPr>
              <w:numPr>
                <w:ilvl w:val="0"/>
                <w:numId w:val="0"/>
              </w:numPr>
              <w:spacing w:line="312" w:lineRule="auto"/>
              <w:ind w:leftChars="0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可根据采购人需求定制图案。</w:t>
            </w:r>
          </w:p>
        </w:tc>
      </w:tr>
      <w:tr w14:paraId="10F8F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21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4</w:t>
            </w:r>
          </w:p>
        </w:tc>
        <w:tc>
          <w:tcPr>
            <w:tcW w:w="7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E8D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冬被芯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AD92E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B43E0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76B5E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146</w:t>
            </w:r>
          </w:p>
        </w:tc>
        <w:tc>
          <w:tcPr>
            <w:tcW w:w="7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4386F">
            <w:pPr>
              <w:numPr>
                <w:ilvl w:val="0"/>
                <w:numId w:val="2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填充物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C类等级及以上的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技术要求。</w:t>
            </w:r>
          </w:p>
          <w:p w14:paraId="0C464792">
            <w:pPr>
              <w:numPr>
                <w:ilvl w:val="0"/>
                <w:numId w:val="2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面料100%全棉，静音三防（抗沾湿、易去污、拒油性能）抗菌防羽布；颜色：漂白色。</w:t>
            </w:r>
          </w:p>
          <w:p w14:paraId="0D4CBEDB">
            <w:pPr>
              <w:numPr>
                <w:ilvl w:val="0"/>
                <w:numId w:val="2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面料纱织密度≥40s*40s，纱线总根数≥T230。</w:t>
            </w:r>
          </w:p>
          <w:p w14:paraId="34183192">
            <w:pPr>
              <w:numPr>
                <w:ilvl w:val="0"/>
                <w:numId w:val="2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12943DD2">
            <w:pPr>
              <w:numPr>
                <w:ilvl w:val="0"/>
                <w:numId w:val="2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填充物：聚酯纤维，≥450g/平方米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303717A">
            <w:pPr>
              <w:numPr>
                <w:ilvl w:val="0"/>
                <w:numId w:val="2"/>
              </w:numPr>
              <w:spacing w:line="312" w:lineRule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工艺：方格绗缝，四周牙条，需要车酒店标识（水洗标）。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14:paraId="7543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5FDD1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083A9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C9E7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床体135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/150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1864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3AD37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7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7946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A10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31EF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CE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被芯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D5DB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EF9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3F23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146</w:t>
            </w:r>
          </w:p>
        </w:tc>
        <w:tc>
          <w:tcPr>
            <w:tcW w:w="7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6AC84">
            <w:pPr>
              <w:numPr>
                <w:ilvl w:val="0"/>
                <w:numId w:val="0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填充物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C类等级及以上的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技术要求。</w:t>
            </w:r>
          </w:p>
          <w:p w14:paraId="6FB331CE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面料100%全棉，静音三防（抗沾湿、易去污、拒油性能）抗菌防羽布；颜色：漂白色。</w:t>
            </w:r>
          </w:p>
          <w:p w14:paraId="75635827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面料纱织密度≥40s*40s，纱线总根数≥T230。</w:t>
            </w:r>
          </w:p>
          <w:p w14:paraId="6F32FCF0">
            <w:pPr>
              <w:numPr>
                <w:ilvl w:val="0"/>
                <w:numId w:val="0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3696DA4C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5、被芯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填充物：聚酯纤维，≥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140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g/平方米。</w:t>
            </w:r>
          </w:p>
          <w:p w14:paraId="1EA24874">
            <w:pPr>
              <w:numPr>
                <w:ilvl w:val="0"/>
                <w:numId w:val="0"/>
              </w:numPr>
              <w:spacing w:line="312" w:lineRule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工艺：方格绗缝，四周牙条，需要车酒店标识（水洗标）。                                                                                                      </w:t>
            </w:r>
          </w:p>
        </w:tc>
      </w:tr>
      <w:tr w14:paraId="6A654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360D1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71A1E">
            <w:pPr>
              <w:jc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E711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床体135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/150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33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031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7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81B6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0F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054E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24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软枕芯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C98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F7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75*45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965C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179</w:t>
            </w:r>
          </w:p>
        </w:tc>
        <w:tc>
          <w:tcPr>
            <w:tcW w:w="7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6E292">
            <w:pPr>
              <w:numPr>
                <w:ilvl w:val="0"/>
                <w:numId w:val="0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填充物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C类等级及以上的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技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术要求。</w:t>
            </w:r>
          </w:p>
          <w:p w14:paraId="4C211A3E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面料100%全棉，静音三防（抗沾湿、易去污、拒油性能）抗菌防羽布；颜色：漂白色。</w:t>
            </w:r>
          </w:p>
          <w:p w14:paraId="0205EDAD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面料纱织密度≥40s*40s，纱线总根数≥T230。</w:t>
            </w:r>
          </w:p>
          <w:p w14:paraId="60BC9E38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0A75E17F">
            <w:pPr>
              <w:numPr>
                <w:ilvl w:val="0"/>
                <w:numId w:val="0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填充物：聚酯纤维，≥1200克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021BABB">
            <w:pPr>
              <w:numPr>
                <w:ilvl w:val="0"/>
                <w:numId w:val="0"/>
              </w:numPr>
              <w:spacing w:line="312" w:lineRule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工艺：四周加本色牙条封边，饱满舒适，均匀支撑性好，车酒店标识。</w:t>
            </w:r>
          </w:p>
        </w:tc>
      </w:tr>
      <w:tr w14:paraId="6D00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D39B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7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964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硬枕芯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FB1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B31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75*45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F12B9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179</w:t>
            </w:r>
          </w:p>
        </w:tc>
        <w:tc>
          <w:tcPr>
            <w:tcW w:w="7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6A922">
            <w:pPr>
              <w:numPr>
                <w:ilvl w:val="0"/>
                <w:numId w:val="0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4203CF4D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面料100%全棉，静音三防（抗沾湿、易去污、拒油性能）抗菌防羽布；颜色：漂白色。</w:t>
            </w:r>
          </w:p>
          <w:p w14:paraId="1C10CF5D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面料纱织密度≥40s*40s，纱线总根数≥T230。</w:t>
            </w:r>
          </w:p>
          <w:p w14:paraId="57692A24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面料经烧毛、轧光、丝光全工艺处理，面料柔软、布面光洁，透气性能良好，无疵点，无棉结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，无异味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73C00295">
            <w:pPr>
              <w:numPr>
                <w:ilvl w:val="0"/>
                <w:numId w:val="0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填充物：聚酯纤维，≥900克。</w:t>
            </w:r>
          </w:p>
          <w:p w14:paraId="08C59544">
            <w:pPr>
              <w:numPr>
                <w:ilvl w:val="0"/>
                <w:numId w:val="0"/>
              </w:numPr>
              <w:spacing w:line="312" w:lineRule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工艺：四周加本色牙条封边，饱满舒适，均匀支撑性好，车酒店标识。</w:t>
            </w:r>
          </w:p>
        </w:tc>
      </w:tr>
      <w:tr w14:paraId="1630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750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8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A7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浴巾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AE8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F43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150*80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20C5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900</w:t>
            </w:r>
          </w:p>
        </w:tc>
        <w:tc>
          <w:tcPr>
            <w:tcW w:w="77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8A2C5">
            <w:pPr>
              <w:numPr>
                <w:ilvl w:val="0"/>
                <w:numId w:val="3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面料符合GB18401-2010《国家纺织产品基本安全技术规范》B类相关技术要求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：“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pH值4.0～8.5，甲醛含量≦75（mg/kg），可分解致癌芳香胺染料禁用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4CB2E8F0">
            <w:pPr>
              <w:numPr>
                <w:ilvl w:val="0"/>
                <w:numId w:val="3"/>
              </w:numPr>
              <w:spacing w:line="312" w:lineRule="auto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面料100%全棉精梳纱，毛纱≥16S，底纱≥21S；浴巾：≥800克；面巾：≥180克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颜色：漂白色。</w:t>
            </w:r>
          </w:p>
          <w:p w14:paraId="67579A49">
            <w:pPr>
              <w:numPr>
                <w:ilvl w:val="0"/>
                <w:numId w:val="3"/>
              </w:numPr>
              <w:spacing w:line="312" w:lineRule="auto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工艺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巾体螺旋平织、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定制单面提花logo（“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有园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”魏碑字体）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斜纹小缎边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车酒店标识（水洗标）。无色花、无色差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、无异味，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手感柔软，吸水性能好，无棉结，无明显破损性疵点。</w:t>
            </w:r>
          </w:p>
          <w:p w14:paraId="696308E9">
            <w:pPr>
              <w:numPr>
                <w:ilvl w:val="0"/>
                <w:numId w:val="3"/>
              </w:numPr>
              <w:spacing w:line="312" w:lineRule="auto"/>
              <w:ind w:left="0" w:leftChars="0" w:firstLine="0" w:firstLineChars="0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面料符合GB/T22800-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《旅游饭店用纺织品》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客房床上用品系列产品内在质量要求中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合格品：“断裂强力（N）≧250，水洗尺寸变化率（%）+3.0～-6.0”的要求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4FC6C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387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6"/>
                <w:szCs w:val="26"/>
                <w:highlight w:val="none"/>
                <w:lang w:bidi="ar"/>
              </w:rPr>
              <w:t>9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0765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6"/>
                <w:szCs w:val="26"/>
                <w:highlight w:val="none"/>
                <w:lang w:val="en-US" w:eastAsia="zh-CN"/>
              </w:rPr>
              <w:t>面巾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530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955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8693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900</w:t>
            </w:r>
          </w:p>
        </w:tc>
        <w:tc>
          <w:tcPr>
            <w:tcW w:w="77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D489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2EA7212">
      <w:pPr>
        <w:pStyle w:val="2"/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29901"/>
    <w:multiLevelType w:val="singleLevel"/>
    <w:tmpl w:val="B82299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13A55A"/>
    <w:multiLevelType w:val="singleLevel"/>
    <w:tmpl w:val="DC13A5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0732C0"/>
    <w:multiLevelType w:val="singleLevel"/>
    <w:tmpl w:val="260732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C127C"/>
    <w:rsid w:val="2B2011A8"/>
    <w:rsid w:val="48A1058A"/>
    <w:rsid w:val="69B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2162</Words>
  <Characters>2670</Characters>
  <Lines>0</Lines>
  <Paragraphs>0</Paragraphs>
  <TotalTime>0</TotalTime>
  <ScaleCrop>false</ScaleCrop>
  <LinksUpToDate>false</LinksUpToDate>
  <CharactersWithSpaces>2947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2025-10-24T03:42:00Z</dcterms:created>
  <dc:creator>Administrator</dc:creator>
  <cp:lastModifiedBy>Lulu</cp:lastModifiedBy>
  <dcterms:modified xsi:type="dcterms:W3CDTF">2025-10-27T08:30:17Z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773A474439BB4EDBBE78ECADD5AFB161_12</vt:lpwstr>
  </property>
</Properties>
</file>