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D4E42">
      <w:pPr>
        <w:rPr>
          <w:color w:val="auto"/>
        </w:rPr>
      </w:pPr>
      <w:bookmarkStart w:id="0" w:name="_Hlk202702412"/>
      <w:r>
        <w:rPr>
          <w:rFonts w:hint="eastAsia"/>
          <w:color w:val="auto"/>
        </w:rPr>
        <w:t>项目编号：HQWYCG2025HC001</w:t>
      </w:r>
    </w:p>
    <w:p w14:paraId="66C00A86">
      <w:pPr>
        <w:rPr>
          <w:snapToGrid w:val="0"/>
          <w:color w:val="auto"/>
        </w:rPr>
      </w:pPr>
    </w:p>
    <w:p w14:paraId="70609AA2">
      <w:pPr>
        <w:rPr>
          <w:snapToGrid w:val="0"/>
          <w:color w:val="auto"/>
        </w:rPr>
      </w:pPr>
    </w:p>
    <w:p w14:paraId="45191E87">
      <w:pPr>
        <w:rPr>
          <w:snapToGrid w:val="0"/>
          <w:color w:val="auto"/>
        </w:rPr>
      </w:pPr>
    </w:p>
    <w:p w14:paraId="6FB50D9D">
      <w:pPr>
        <w:rPr>
          <w:color w:val="auto"/>
          <w:sz w:val="52"/>
          <w:szCs w:val="52"/>
        </w:rPr>
      </w:pPr>
      <w:r>
        <w:rPr>
          <w:rFonts w:hint="eastAsia"/>
          <w:color w:val="auto"/>
          <w:sz w:val="52"/>
          <w:szCs w:val="52"/>
        </w:rPr>
        <w:t>南京大学后勤管理零代码应用平台</w:t>
      </w:r>
    </w:p>
    <w:p w14:paraId="0FD82172">
      <w:pPr>
        <w:rPr>
          <w:color w:val="auto"/>
        </w:rPr>
      </w:pPr>
    </w:p>
    <w:p w14:paraId="7328B54B">
      <w:pPr>
        <w:rPr>
          <w:color w:val="auto"/>
        </w:rPr>
      </w:pPr>
    </w:p>
    <w:p w14:paraId="018304B6">
      <w:pPr>
        <w:jc w:val="center"/>
        <w:rPr>
          <w:b/>
          <w:bCs/>
          <w:color w:val="auto"/>
          <w:sz w:val="84"/>
          <w:szCs w:val="84"/>
        </w:rPr>
      </w:pPr>
      <w:r>
        <w:rPr>
          <w:rFonts w:hint="eastAsia"/>
          <w:b/>
          <w:bCs/>
          <w:color w:val="auto"/>
          <w:sz w:val="84"/>
          <w:szCs w:val="84"/>
        </w:rPr>
        <w:t>采</w:t>
      </w:r>
    </w:p>
    <w:p w14:paraId="016EC2A2">
      <w:pPr>
        <w:jc w:val="center"/>
        <w:rPr>
          <w:b/>
          <w:bCs/>
          <w:color w:val="auto"/>
          <w:sz w:val="84"/>
          <w:szCs w:val="84"/>
        </w:rPr>
      </w:pPr>
    </w:p>
    <w:p w14:paraId="4BA54695">
      <w:pPr>
        <w:jc w:val="center"/>
        <w:rPr>
          <w:b/>
          <w:bCs/>
          <w:color w:val="auto"/>
          <w:sz w:val="84"/>
          <w:szCs w:val="84"/>
        </w:rPr>
      </w:pPr>
      <w:r>
        <w:rPr>
          <w:rFonts w:hint="eastAsia"/>
          <w:b/>
          <w:bCs/>
          <w:color w:val="auto"/>
          <w:sz w:val="84"/>
          <w:szCs w:val="84"/>
        </w:rPr>
        <w:t>购</w:t>
      </w:r>
    </w:p>
    <w:p w14:paraId="19CE756E">
      <w:pPr>
        <w:jc w:val="center"/>
        <w:rPr>
          <w:b/>
          <w:bCs/>
          <w:color w:val="auto"/>
          <w:sz w:val="84"/>
          <w:szCs w:val="84"/>
        </w:rPr>
      </w:pPr>
    </w:p>
    <w:p w14:paraId="55D53B50">
      <w:pPr>
        <w:jc w:val="center"/>
        <w:rPr>
          <w:b/>
          <w:bCs/>
          <w:color w:val="auto"/>
          <w:sz w:val="84"/>
          <w:szCs w:val="84"/>
        </w:rPr>
      </w:pPr>
      <w:r>
        <w:rPr>
          <w:rFonts w:hint="eastAsia"/>
          <w:b/>
          <w:bCs/>
          <w:color w:val="auto"/>
          <w:sz w:val="84"/>
          <w:szCs w:val="84"/>
        </w:rPr>
        <w:t>文</w:t>
      </w:r>
    </w:p>
    <w:p w14:paraId="465E8113">
      <w:pPr>
        <w:jc w:val="center"/>
        <w:rPr>
          <w:b/>
          <w:bCs/>
          <w:color w:val="auto"/>
          <w:sz w:val="84"/>
          <w:szCs w:val="84"/>
        </w:rPr>
      </w:pPr>
    </w:p>
    <w:p w14:paraId="788085C2">
      <w:pPr>
        <w:jc w:val="center"/>
        <w:rPr>
          <w:color w:val="auto"/>
          <w:sz w:val="84"/>
          <w:szCs w:val="84"/>
        </w:rPr>
      </w:pPr>
      <w:r>
        <w:rPr>
          <w:rFonts w:hint="eastAsia"/>
          <w:b/>
          <w:bCs/>
          <w:color w:val="auto"/>
          <w:sz w:val="84"/>
          <w:szCs w:val="84"/>
        </w:rPr>
        <w:t>件</w:t>
      </w:r>
    </w:p>
    <w:p w14:paraId="0C43002A">
      <w:pPr>
        <w:rPr>
          <w:color w:val="auto"/>
        </w:rPr>
      </w:pPr>
    </w:p>
    <w:p w14:paraId="5A4D1BBD">
      <w:pPr>
        <w:rPr>
          <w:color w:val="auto"/>
        </w:rPr>
      </w:pPr>
    </w:p>
    <w:p w14:paraId="0B866D78">
      <w:pPr>
        <w:rPr>
          <w:color w:val="auto"/>
        </w:rPr>
      </w:pPr>
    </w:p>
    <w:p w14:paraId="319C5E42">
      <w:pPr>
        <w:jc w:val="center"/>
        <w:rPr>
          <w:color w:val="auto"/>
          <w:sz w:val="32"/>
          <w:szCs w:val="32"/>
        </w:rPr>
      </w:pPr>
      <w:r>
        <w:rPr>
          <w:rFonts w:hint="eastAsia"/>
          <w:color w:val="auto"/>
          <w:sz w:val="32"/>
          <w:szCs w:val="32"/>
        </w:rPr>
        <w:t>南京大学后勤服务集团物业中心</w:t>
      </w:r>
    </w:p>
    <w:p w14:paraId="22CBD9D9">
      <w:pPr>
        <w:jc w:val="center"/>
        <w:rPr>
          <w:color w:val="auto"/>
          <w:sz w:val="32"/>
          <w:szCs w:val="32"/>
        </w:rPr>
      </w:pPr>
    </w:p>
    <w:p w14:paraId="56D8C5D8">
      <w:pPr>
        <w:jc w:val="center"/>
        <w:rPr>
          <w:color w:val="auto"/>
          <w:sz w:val="32"/>
          <w:szCs w:val="32"/>
        </w:rPr>
      </w:pPr>
      <w:r>
        <w:rPr>
          <w:rFonts w:hint="eastAsia"/>
          <w:color w:val="auto"/>
          <w:sz w:val="32"/>
          <w:szCs w:val="32"/>
        </w:rPr>
        <w:t>2</w:t>
      </w:r>
      <w:r>
        <w:rPr>
          <w:color w:val="auto"/>
          <w:sz w:val="32"/>
          <w:szCs w:val="32"/>
        </w:rPr>
        <w:t>02</w:t>
      </w:r>
      <w:r>
        <w:rPr>
          <w:rFonts w:hint="eastAsia"/>
          <w:color w:val="auto"/>
          <w:sz w:val="32"/>
          <w:szCs w:val="32"/>
        </w:rPr>
        <w:t>5年8月</w:t>
      </w:r>
    </w:p>
    <w:p w14:paraId="552ACE54">
      <w:pPr>
        <w:jc w:val="center"/>
        <w:rPr>
          <w:snapToGrid w:val="0"/>
          <w:color w:val="auto"/>
        </w:rPr>
      </w:pPr>
      <w:r>
        <w:rPr>
          <w:color w:val="auto"/>
        </w:rPr>
        <w:br w:type="page"/>
      </w:r>
      <w:r>
        <w:rPr>
          <w:rFonts w:hint="eastAsia"/>
          <w:snapToGrid w:val="0"/>
          <w:color w:val="auto"/>
        </w:rPr>
        <w:t>前  附  表</w:t>
      </w:r>
    </w:p>
    <w:p w14:paraId="0AB37804">
      <w:pPr>
        <w:jc w:val="center"/>
        <w:rPr>
          <w:snapToGrid w:val="0"/>
          <w:color w:val="auto"/>
        </w:rPr>
      </w:pPr>
    </w:p>
    <w:tbl>
      <w:tblPr>
        <w:tblStyle w:val="18"/>
        <w:tblW w:w="94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2313"/>
        <w:gridCol w:w="2516"/>
        <w:gridCol w:w="2367"/>
      </w:tblGrid>
      <w:tr w14:paraId="7743D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74" w:hRule="atLeast"/>
          <w:jc w:val="center"/>
        </w:trPr>
        <w:tc>
          <w:tcPr>
            <w:tcW w:w="2227" w:type="dxa"/>
            <w:tcBorders>
              <w:top w:val="double" w:color="auto" w:sz="4" w:space="0"/>
              <w:left w:val="double" w:color="auto" w:sz="4" w:space="0"/>
            </w:tcBorders>
            <w:vAlign w:val="center"/>
          </w:tcPr>
          <w:p w14:paraId="663A44B4">
            <w:pPr>
              <w:rPr>
                <w:color w:val="auto"/>
              </w:rPr>
            </w:pPr>
            <w:r>
              <w:rPr>
                <w:rFonts w:hint="eastAsia"/>
                <w:color w:val="auto"/>
              </w:rPr>
              <w:t>采购邀请及须知</w:t>
            </w:r>
          </w:p>
        </w:tc>
        <w:tc>
          <w:tcPr>
            <w:tcW w:w="7196" w:type="dxa"/>
            <w:gridSpan w:val="3"/>
            <w:tcBorders>
              <w:top w:val="double" w:color="auto" w:sz="4" w:space="0"/>
              <w:right w:val="double" w:color="auto" w:sz="4" w:space="0"/>
            </w:tcBorders>
            <w:vAlign w:val="center"/>
          </w:tcPr>
          <w:p w14:paraId="646AA593">
            <w:pPr>
              <w:rPr>
                <w:snapToGrid w:val="0"/>
                <w:color w:val="auto"/>
              </w:rPr>
            </w:pPr>
            <w:r>
              <w:rPr>
                <w:rFonts w:hint="eastAsia"/>
                <w:snapToGrid w:val="0"/>
                <w:color w:val="auto"/>
              </w:rPr>
              <w:t>南京大学后勤服务集团物业中心具体承办南京大学“后勤管理零代码应用平台”项目的采购事宜。该平台应用涉及南京大学后勤服务集团物业中心、绿化环卫中心、水电中心三个部门。</w:t>
            </w:r>
          </w:p>
          <w:p w14:paraId="6A5EDFBA">
            <w:pPr>
              <w:rPr>
                <w:snapToGrid w:val="0"/>
                <w:color w:val="auto"/>
              </w:rPr>
            </w:pPr>
            <w:r>
              <w:rPr>
                <w:rFonts w:hint="eastAsia"/>
                <w:snapToGrid w:val="0"/>
                <w:color w:val="auto"/>
              </w:rPr>
              <w:t>欢迎有意向的合格供应商参与采购。</w:t>
            </w:r>
          </w:p>
          <w:p w14:paraId="54B9CEEA">
            <w:pPr>
              <w:rPr>
                <w:color w:val="auto"/>
              </w:rPr>
            </w:pPr>
            <w:r>
              <w:rPr>
                <w:rFonts w:hint="eastAsia"/>
                <w:snapToGrid w:val="0"/>
                <w:color w:val="auto"/>
              </w:rPr>
              <w:t>请各供应商仔细阅读本采购文件，供应商一旦提交采购响应文件，视为已阅读并全部理解本采购文件。</w:t>
            </w:r>
          </w:p>
        </w:tc>
      </w:tr>
      <w:tr w14:paraId="05952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227" w:type="dxa"/>
            <w:tcBorders>
              <w:top w:val="double" w:color="auto" w:sz="4" w:space="0"/>
              <w:left w:val="double" w:color="auto" w:sz="4" w:space="0"/>
            </w:tcBorders>
            <w:vAlign w:val="center"/>
          </w:tcPr>
          <w:p w14:paraId="010A2B50">
            <w:pPr>
              <w:rPr>
                <w:snapToGrid w:val="0"/>
                <w:color w:val="auto"/>
              </w:rPr>
            </w:pPr>
            <w:r>
              <w:rPr>
                <w:rFonts w:hint="eastAsia"/>
                <w:color w:val="auto"/>
              </w:rPr>
              <w:t>项目名称</w:t>
            </w:r>
          </w:p>
        </w:tc>
        <w:tc>
          <w:tcPr>
            <w:tcW w:w="7196" w:type="dxa"/>
            <w:gridSpan w:val="3"/>
            <w:tcBorders>
              <w:top w:val="double" w:color="auto" w:sz="4" w:space="0"/>
              <w:right w:val="double" w:color="auto" w:sz="4" w:space="0"/>
            </w:tcBorders>
            <w:vAlign w:val="center"/>
          </w:tcPr>
          <w:p w14:paraId="7E2C53BB">
            <w:pPr>
              <w:rPr>
                <w:snapToGrid w:val="0"/>
                <w:color w:val="auto"/>
              </w:rPr>
            </w:pPr>
            <w:r>
              <w:rPr>
                <w:rFonts w:hint="eastAsia"/>
                <w:snapToGrid w:val="0"/>
                <w:color w:val="auto"/>
              </w:rPr>
              <w:t>南京大学后勤管理“零代码应用平台”采购</w:t>
            </w:r>
          </w:p>
        </w:tc>
      </w:tr>
      <w:tr w14:paraId="32C48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227" w:type="dxa"/>
            <w:tcBorders>
              <w:left w:val="double" w:color="auto" w:sz="4" w:space="0"/>
              <w:bottom w:val="single" w:color="auto" w:sz="4" w:space="0"/>
            </w:tcBorders>
            <w:vAlign w:val="center"/>
          </w:tcPr>
          <w:p w14:paraId="46B517A4">
            <w:pPr>
              <w:rPr>
                <w:snapToGrid w:val="0"/>
                <w:color w:val="auto"/>
              </w:rPr>
            </w:pPr>
            <w:r>
              <w:rPr>
                <w:rFonts w:hint="eastAsia"/>
                <w:snapToGrid w:val="0"/>
                <w:color w:val="auto"/>
              </w:rPr>
              <w:t>联 系 人</w:t>
            </w:r>
          </w:p>
        </w:tc>
        <w:tc>
          <w:tcPr>
            <w:tcW w:w="2313" w:type="dxa"/>
            <w:tcBorders>
              <w:bottom w:val="single" w:color="auto" w:sz="4" w:space="0"/>
            </w:tcBorders>
            <w:vAlign w:val="center"/>
          </w:tcPr>
          <w:p w14:paraId="2C58D0BC">
            <w:pPr>
              <w:rPr>
                <w:snapToGrid w:val="0"/>
                <w:color w:val="auto"/>
              </w:rPr>
            </w:pPr>
            <w:r>
              <w:rPr>
                <w:rFonts w:hint="eastAsia"/>
                <w:snapToGrid w:val="0"/>
                <w:color w:val="auto"/>
              </w:rPr>
              <w:t>洪老师</w:t>
            </w:r>
          </w:p>
        </w:tc>
        <w:tc>
          <w:tcPr>
            <w:tcW w:w="2516" w:type="dxa"/>
            <w:tcBorders>
              <w:bottom w:val="single" w:color="auto" w:sz="4" w:space="0"/>
            </w:tcBorders>
            <w:vAlign w:val="center"/>
          </w:tcPr>
          <w:p w14:paraId="664C9430">
            <w:pPr>
              <w:rPr>
                <w:snapToGrid w:val="0"/>
                <w:color w:val="auto"/>
              </w:rPr>
            </w:pPr>
            <w:r>
              <w:rPr>
                <w:rFonts w:hint="eastAsia"/>
                <w:snapToGrid w:val="0"/>
                <w:color w:val="auto"/>
              </w:rPr>
              <w:t>联系电话</w:t>
            </w:r>
          </w:p>
        </w:tc>
        <w:tc>
          <w:tcPr>
            <w:tcW w:w="2367" w:type="dxa"/>
            <w:tcBorders>
              <w:bottom w:val="single" w:color="auto" w:sz="4" w:space="0"/>
              <w:right w:val="double" w:color="auto" w:sz="4" w:space="0"/>
            </w:tcBorders>
            <w:vAlign w:val="center"/>
          </w:tcPr>
          <w:p w14:paraId="22DDD1C0">
            <w:pPr>
              <w:rPr>
                <w:snapToGrid w:val="0"/>
                <w:color w:val="auto"/>
              </w:rPr>
            </w:pPr>
            <w:r>
              <w:rPr>
                <w:snapToGrid w:val="0"/>
                <w:color w:val="auto"/>
              </w:rPr>
              <w:t>025-</w:t>
            </w:r>
            <w:r>
              <w:rPr>
                <w:rFonts w:hint="eastAsia"/>
                <w:snapToGrid w:val="0"/>
                <w:color w:val="auto"/>
              </w:rPr>
              <w:t>89680089</w:t>
            </w:r>
          </w:p>
        </w:tc>
      </w:tr>
      <w:tr w14:paraId="6D75B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227" w:type="dxa"/>
            <w:tcBorders>
              <w:left w:val="double" w:color="auto" w:sz="4" w:space="0"/>
              <w:bottom w:val="single" w:color="auto" w:sz="4" w:space="0"/>
            </w:tcBorders>
            <w:vAlign w:val="center"/>
          </w:tcPr>
          <w:p w14:paraId="38105D03">
            <w:pPr>
              <w:rPr>
                <w:snapToGrid w:val="0"/>
                <w:color w:val="auto"/>
              </w:rPr>
            </w:pPr>
            <w:r>
              <w:rPr>
                <w:rFonts w:hint="eastAsia"/>
                <w:snapToGrid w:val="0"/>
                <w:color w:val="auto"/>
              </w:rPr>
              <w:t>服务地点</w:t>
            </w:r>
          </w:p>
        </w:tc>
        <w:tc>
          <w:tcPr>
            <w:tcW w:w="2313" w:type="dxa"/>
            <w:tcBorders>
              <w:bottom w:val="single" w:color="auto" w:sz="4" w:space="0"/>
            </w:tcBorders>
            <w:vAlign w:val="center"/>
          </w:tcPr>
          <w:p w14:paraId="66CD16AD">
            <w:pPr>
              <w:rPr>
                <w:snapToGrid w:val="0"/>
                <w:color w:val="auto"/>
              </w:rPr>
            </w:pPr>
            <w:r>
              <w:rPr>
                <w:rFonts w:hint="eastAsia"/>
                <w:snapToGrid w:val="0"/>
                <w:color w:val="auto"/>
              </w:rPr>
              <w:t>需方指定地点</w:t>
            </w:r>
          </w:p>
        </w:tc>
        <w:tc>
          <w:tcPr>
            <w:tcW w:w="2516" w:type="dxa"/>
            <w:tcBorders>
              <w:bottom w:val="single" w:color="auto" w:sz="4" w:space="0"/>
            </w:tcBorders>
            <w:vAlign w:val="center"/>
          </w:tcPr>
          <w:p w14:paraId="64EBDBD6">
            <w:pPr>
              <w:rPr>
                <w:snapToGrid w:val="0"/>
                <w:color w:val="auto"/>
              </w:rPr>
            </w:pPr>
            <w:r>
              <w:rPr>
                <w:rFonts w:hint="eastAsia"/>
                <w:snapToGrid w:val="0"/>
                <w:color w:val="auto"/>
              </w:rPr>
              <w:t>采购文件工本费</w:t>
            </w:r>
          </w:p>
        </w:tc>
        <w:tc>
          <w:tcPr>
            <w:tcW w:w="2367" w:type="dxa"/>
            <w:tcBorders>
              <w:bottom w:val="single" w:color="auto" w:sz="4" w:space="0"/>
              <w:right w:val="double" w:color="auto" w:sz="4" w:space="0"/>
            </w:tcBorders>
            <w:vAlign w:val="center"/>
          </w:tcPr>
          <w:p w14:paraId="475D9DA6">
            <w:pPr>
              <w:rPr>
                <w:snapToGrid w:val="0"/>
                <w:color w:val="auto"/>
              </w:rPr>
            </w:pPr>
            <w:r>
              <w:rPr>
                <w:snapToGrid w:val="0"/>
                <w:color w:val="auto"/>
              </w:rPr>
              <w:t>0</w:t>
            </w:r>
            <w:r>
              <w:rPr>
                <w:rFonts w:hint="eastAsia"/>
                <w:snapToGrid w:val="0"/>
                <w:color w:val="auto"/>
              </w:rPr>
              <w:t>元</w:t>
            </w:r>
          </w:p>
        </w:tc>
      </w:tr>
      <w:tr w14:paraId="0831A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227" w:type="dxa"/>
            <w:tcBorders>
              <w:top w:val="single" w:color="auto" w:sz="4" w:space="0"/>
              <w:left w:val="double" w:color="auto" w:sz="4" w:space="0"/>
              <w:bottom w:val="single" w:color="auto" w:sz="4" w:space="0"/>
            </w:tcBorders>
            <w:vAlign w:val="center"/>
          </w:tcPr>
          <w:p w14:paraId="589E61B1">
            <w:pPr>
              <w:rPr>
                <w:snapToGrid w:val="0"/>
                <w:color w:val="auto"/>
              </w:rPr>
            </w:pPr>
            <w:r>
              <w:rPr>
                <w:rFonts w:hint="eastAsia"/>
                <w:snapToGrid w:val="0"/>
                <w:color w:val="auto"/>
              </w:rPr>
              <w:t>项目预算</w:t>
            </w:r>
          </w:p>
        </w:tc>
        <w:tc>
          <w:tcPr>
            <w:tcW w:w="2313" w:type="dxa"/>
            <w:tcBorders>
              <w:right w:val="single" w:color="auto" w:sz="4" w:space="0"/>
            </w:tcBorders>
            <w:vAlign w:val="center"/>
          </w:tcPr>
          <w:p w14:paraId="4F16A77B">
            <w:pPr>
              <w:rPr>
                <w:snapToGrid w:val="0"/>
                <w:color w:val="auto"/>
              </w:rPr>
            </w:pPr>
            <w:r>
              <w:rPr>
                <w:rFonts w:hint="eastAsia"/>
                <w:snapToGrid w:val="0"/>
                <w:color w:val="auto"/>
              </w:rPr>
              <w:t>4.8万元</w:t>
            </w:r>
          </w:p>
        </w:tc>
        <w:tc>
          <w:tcPr>
            <w:tcW w:w="2516" w:type="dxa"/>
            <w:tcBorders>
              <w:left w:val="single" w:color="auto" w:sz="4" w:space="0"/>
              <w:right w:val="single" w:color="auto" w:sz="4" w:space="0"/>
            </w:tcBorders>
            <w:vAlign w:val="center"/>
          </w:tcPr>
          <w:p w14:paraId="3323EDE7">
            <w:pPr>
              <w:rPr>
                <w:snapToGrid w:val="0"/>
                <w:color w:val="auto"/>
              </w:rPr>
            </w:pPr>
            <w:r>
              <w:rPr>
                <w:rFonts w:hint="eastAsia"/>
                <w:snapToGrid w:val="0"/>
                <w:color w:val="auto"/>
              </w:rPr>
              <w:t>采购保证金</w:t>
            </w:r>
          </w:p>
        </w:tc>
        <w:tc>
          <w:tcPr>
            <w:tcW w:w="2367" w:type="dxa"/>
            <w:tcBorders>
              <w:left w:val="single" w:color="auto" w:sz="4" w:space="0"/>
              <w:right w:val="double" w:color="auto" w:sz="4" w:space="0"/>
            </w:tcBorders>
            <w:vAlign w:val="center"/>
          </w:tcPr>
          <w:p w14:paraId="046A970E">
            <w:pPr>
              <w:rPr>
                <w:snapToGrid w:val="0"/>
                <w:color w:val="auto"/>
              </w:rPr>
            </w:pPr>
            <w:r>
              <w:rPr>
                <w:rFonts w:hint="eastAsia"/>
                <w:snapToGrid w:val="0"/>
                <w:color w:val="auto"/>
              </w:rPr>
              <w:t>无</w:t>
            </w:r>
          </w:p>
        </w:tc>
      </w:tr>
      <w:tr w14:paraId="71993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2227" w:type="dxa"/>
            <w:tcBorders>
              <w:left w:val="double" w:color="auto" w:sz="4" w:space="0"/>
              <w:right w:val="single" w:color="auto" w:sz="4" w:space="0"/>
            </w:tcBorders>
            <w:vAlign w:val="center"/>
          </w:tcPr>
          <w:p w14:paraId="74382E02">
            <w:pPr>
              <w:rPr>
                <w:snapToGrid w:val="0"/>
                <w:color w:val="auto"/>
              </w:rPr>
            </w:pPr>
            <w:r>
              <w:rPr>
                <w:rFonts w:hint="eastAsia"/>
                <w:snapToGrid w:val="0"/>
                <w:color w:val="auto"/>
              </w:rPr>
              <w:t>答疑时间</w:t>
            </w:r>
          </w:p>
        </w:tc>
        <w:tc>
          <w:tcPr>
            <w:tcW w:w="7196" w:type="dxa"/>
            <w:gridSpan w:val="3"/>
            <w:tcBorders>
              <w:left w:val="single" w:color="auto" w:sz="4" w:space="0"/>
              <w:right w:val="double" w:color="auto" w:sz="4" w:space="0"/>
            </w:tcBorders>
            <w:vAlign w:val="center"/>
          </w:tcPr>
          <w:p w14:paraId="2A49F06C">
            <w:pPr>
              <w:rPr>
                <w:snapToGrid w:val="0"/>
                <w:color w:val="auto"/>
              </w:rPr>
            </w:pPr>
            <w:r>
              <w:rPr>
                <w:rFonts w:hint="eastAsia"/>
                <w:snapToGrid w:val="0"/>
                <w:color w:val="auto"/>
              </w:rPr>
              <w:t>采购人不安排统一答疑，供应商如有不清楚之处或认为本采购文件有任何不合理之处，于</w:t>
            </w:r>
            <w:r>
              <w:rPr>
                <w:snapToGrid w:val="0"/>
                <w:color w:val="auto"/>
              </w:rPr>
              <w:t>202</w:t>
            </w:r>
            <w:r>
              <w:rPr>
                <w:rFonts w:hint="eastAsia"/>
                <w:snapToGrid w:val="0"/>
                <w:color w:val="auto"/>
              </w:rPr>
              <w:t>5年</w:t>
            </w:r>
            <w:r>
              <w:rPr>
                <w:rFonts w:hint="eastAsia"/>
                <w:snapToGrid w:val="0"/>
                <w:color w:val="auto"/>
                <w:lang w:val="en-US" w:eastAsia="zh-CN"/>
              </w:rPr>
              <w:t>9</w:t>
            </w:r>
            <w:r>
              <w:rPr>
                <w:rFonts w:hint="eastAsia"/>
                <w:snapToGrid w:val="0"/>
                <w:color w:val="auto"/>
              </w:rPr>
              <w:t>月</w:t>
            </w:r>
            <w:r>
              <w:rPr>
                <w:rFonts w:hint="eastAsia"/>
                <w:snapToGrid w:val="0"/>
                <w:color w:val="auto"/>
                <w:lang w:val="en-US" w:eastAsia="zh-CN"/>
              </w:rPr>
              <w:t>11</w:t>
            </w:r>
            <w:r>
              <w:rPr>
                <w:rFonts w:hint="eastAsia"/>
                <w:snapToGrid w:val="0"/>
                <w:color w:val="auto"/>
              </w:rPr>
              <w:t>日1</w:t>
            </w:r>
            <w:r>
              <w:rPr>
                <w:rFonts w:hint="eastAsia"/>
                <w:snapToGrid w:val="0"/>
                <w:color w:val="auto"/>
                <w:lang w:val="en-US" w:eastAsia="zh-CN"/>
              </w:rPr>
              <w:t>4</w:t>
            </w:r>
            <w:r>
              <w:rPr>
                <w:rFonts w:hint="eastAsia"/>
                <w:snapToGrid w:val="0"/>
                <w:color w:val="auto"/>
              </w:rPr>
              <w:t>:00之前，将相关疑问以书面形式（加盖单位公章）的扫描件或图片格式发至</w:t>
            </w:r>
            <w:r>
              <w:rPr>
                <w:snapToGrid w:val="0"/>
                <w:color w:val="auto"/>
              </w:rPr>
              <w:t>hongchen0716@nju.edu.cn</w:t>
            </w:r>
            <w:r>
              <w:rPr>
                <w:rFonts w:hint="eastAsia"/>
                <w:snapToGrid w:val="0"/>
                <w:color w:val="auto"/>
              </w:rPr>
              <w:t>。如供应商在规定时间内未提交书面咨询文件，视为对采购文件无异议。</w:t>
            </w:r>
          </w:p>
        </w:tc>
      </w:tr>
      <w:tr w14:paraId="2D846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227" w:type="dxa"/>
            <w:tcBorders>
              <w:left w:val="double" w:color="auto" w:sz="4" w:space="0"/>
            </w:tcBorders>
            <w:vAlign w:val="center"/>
          </w:tcPr>
          <w:p w14:paraId="1DBC64C0">
            <w:pPr>
              <w:rPr>
                <w:snapToGrid w:val="0"/>
                <w:color w:val="auto"/>
              </w:rPr>
            </w:pPr>
            <w:r>
              <w:rPr>
                <w:rFonts w:hint="eastAsia"/>
                <w:snapToGrid w:val="0"/>
                <w:color w:val="auto"/>
              </w:rPr>
              <w:t>响应文件份数</w:t>
            </w:r>
          </w:p>
        </w:tc>
        <w:tc>
          <w:tcPr>
            <w:tcW w:w="7196" w:type="dxa"/>
            <w:gridSpan w:val="3"/>
            <w:tcBorders>
              <w:right w:val="double" w:color="auto" w:sz="4" w:space="0"/>
            </w:tcBorders>
            <w:vAlign w:val="center"/>
          </w:tcPr>
          <w:p w14:paraId="5F71D850">
            <w:pPr>
              <w:rPr>
                <w:snapToGrid w:val="0"/>
                <w:color w:val="auto"/>
              </w:rPr>
            </w:pPr>
            <w:r>
              <w:rPr>
                <w:rFonts w:hint="eastAsia"/>
                <w:snapToGrid w:val="0"/>
                <w:color w:val="auto"/>
              </w:rPr>
              <w:t>壹套正本、三套副本。</w:t>
            </w:r>
          </w:p>
        </w:tc>
      </w:tr>
      <w:tr w14:paraId="18AAE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81" w:hRule="atLeast"/>
          <w:jc w:val="center"/>
        </w:trPr>
        <w:tc>
          <w:tcPr>
            <w:tcW w:w="2227" w:type="dxa"/>
            <w:tcBorders>
              <w:left w:val="double" w:color="auto" w:sz="4" w:space="0"/>
              <w:bottom w:val="single" w:color="auto" w:sz="4" w:space="0"/>
            </w:tcBorders>
            <w:vAlign w:val="center"/>
          </w:tcPr>
          <w:p w14:paraId="62A7EBBE">
            <w:pPr>
              <w:rPr>
                <w:snapToGrid w:val="0"/>
                <w:color w:val="auto"/>
              </w:rPr>
            </w:pPr>
            <w:r>
              <w:rPr>
                <w:rFonts w:hint="eastAsia"/>
                <w:snapToGrid w:val="0"/>
                <w:color w:val="auto"/>
              </w:rPr>
              <w:t>响应文件递交时间</w:t>
            </w:r>
          </w:p>
        </w:tc>
        <w:tc>
          <w:tcPr>
            <w:tcW w:w="7196" w:type="dxa"/>
            <w:gridSpan w:val="3"/>
            <w:tcBorders>
              <w:bottom w:val="single" w:color="auto" w:sz="4" w:space="0"/>
              <w:right w:val="double" w:color="auto" w:sz="4" w:space="0"/>
            </w:tcBorders>
            <w:vAlign w:val="center"/>
          </w:tcPr>
          <w:p w14:paraId="5F0BB3A9">
            <w:pPr>
              <w:rPr>
                <w:snapToGrid w:val="0"/>
                <w:color w:val="auto"/>
              </w:rPr>
            </w:pPr>
            <w:r>
              <w:rPr>
                <w:rFonts w:hint="eastAsia"/>
                <w:snapToGrid w:val="0"/>
                <w:color w:val="auto"/>
              </w:rPr>
              <w:t>响应文件接收</w:t>
            </w:r>
            <w:r>
              <w:rPr>
                <w:rFonts w:hint="eastAsia"/>
                <w:snapToGrid w:val="0"/>
                <w:color w:val="auto"/>
                <w:lang w:val="en-US" w:eastAsia="zh-CN"/>
              </w:rPr>
              <w:t>截至</w:t>
            </w:r>
            <w:r>
              <w:rPr>
                <w:rFonts w:hint="eastAsia"/>
                <w:snapToGrid w:val="0"/>
                <w:color w:val="auto"/>
              </w:rPr>
              <w:t>时间：2025年</w:t>
            </w:r>
            <w:r>
              <w:rPr>
                <w:rFonts w:hint="eastAsia"/>
                <w:snapToGrid w:val="0"/>
                <w:color w:val="auto"/>
                <w:lang w:val="en-US" w:eastAsia="zh-CN"/>
              </w:rPr>
              <w:t>9</w:t>
            </w:r>
            <w:r>
              <w:rPr>
                <w:rFonts w:hint="eastAsia"/>
                <w:snapToGrid w:val="0"/>
                <w:color w:val="auto"/>
              </w:rPr>
              <w:t xml:space="preserve"> 月</w:t>
            </w:r>
            <w:r>
              <w:rPr>
                <w:rFonts w:hint="eastAsia"/>
                <w:snapToGrid w:val="0"/>
                <w:color w:val="auto"/>
                <w:lang w:val="en-US" w:eastAsia="zh-CN"/>
              </w:rPr>
              <w:t>16</w:t>
            </w:r>
            <w:r>
              <w:rPr>
                <w:rFonts w:hint="eastAsia"/>
                <w:snapToGrid w:val="0"/>
                <w:color w:val="auto"/>
              </w:rPr>
              <w:t>日11:30；逾期不候。</w:t>
            </w:r>
          </w:p>
          <w:p w14:paraId="5EF839DA">
            <w:pPr>
              <w:rPr>
                <w:snapToGrid w:val="0"/>
                <w:color w:val="auto"/>
              </w:rPr>
            </w:pPr>
            <w:r>
              <w:rPr>
                <w:rFonts w:hint="eastAsia"/>
                <w:snapToGrid w:val="0"/>
                <w:color w:val="auto"/>
              </w:rPr>
              <w:t>响应文件接收地点：南京大学仙林校区游泳馆一楼物业办公室。</w:t>
            </w:r>
          </w:p>
          <w:p w14:paraId="73D049C4">
            <w:pPr>
              <w:rPr>
                <w:snapToGrid w:val="0"/>
                <w:color w:val="auto"/>
              </w:rPr>
            </w:pPr>
            <w:r>
              <w:rPr>
                <w:rFonts w:hint="eastAsia"/>
                <w:snapToGrid w:val="0"/>
                <w:color w:val="auto"/>
              </w:rPr>
              <w:t>响应文件要求：档案袋密封盖章。</w:t>
            </w:r>
          </w:p>
        </w:tc>
      </w:tr>
    </w:tbl>
    <w:p w14:paraId="6EA49FFA">
      <w:pPr>
        <w:rPr>
          <w:color w:val="auto"/>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3C9A305B">
      <w:pPr>
        <w:rPr>
          <w:color w:val="auto"/>
        </w:rPr>
      </w:pPr>
      <w:bookmarkStart w:id="1" w:name="_Hlk202707608"/>
      <w:r>
        <w:rPr>
          <w:rFonts w:hint="eastAsia"/>
          <w:color w:val="auto"/>
        </w:rPr>
        <w:t>一、总 则</w:t>
      </w:r>
    </w:p>
    <w:p w14:paraId="023DFAB0">
      <w:pPr>
        <w:rPr>
          <w:color w:val="auto"/>
        </w:rPr>
      </w:pPr>
      <w:r>
        <w:rPr>
          <w:rFonts w:hint="eastAsia"/>
          <w:color w:val="auto"/>
        </w:rPr>
        <w:t>（一）供应商的资格和资质要求</w:t>
      </w:r>
    </w:p>
    <w:p w14:paraId="1EC6ED6F">
      <w:pPr>
        <w:rPr>
          <w:color w:val="auto"/>
        </w:rPr>
      </w:pPr>
      <w:r>
        <w:rPr>
          <w:rFonts w:hint="eastAsia"/>
          <w:color w:val="auto"/>
        </w:rPr>
        <w:t>1.为履行本采购文件的目的，参加响应的生产企业或经销企业（以下称“供应商”）必须具有相应的资质和资格。</w:t>
      </w:r>
    </w:p>
    <w:p w14:paraId="508F7758">
      <w:pPr>
        <w:rPr>
          <w:color w:val="auto"/>
        </w:rPr>
      </w:pPr>
      <w:r>
        <w:rPr>
          <w:rFonts w:hint="eastAsia"/>
          <w:color w:val="auto"/>
        </w:rPr>
        <w:t>2.供应商应提供资质文件，以证明其符合响应条件，具有被授予合同的资格和履行合同的能力。为此，所提交的响应文件中须至少包括下列资料：</w:t>
      </w:r>
    </w:p>
    <w:p w14:paraId="2AE24868">
      <w:pPr>
        <w:rPr>
          <w:color w:val="auto"/>
        </w:rPr>
      </w:pPr>
      <w:r>
        <w:rPr>
          <w:rFonts w:hint="eastAsia"/>
          <w:color w:val="auto"/>
        </w:rPr>
        <w:t>（1）企业营业执照复印件（加盖红章）；</w:t>
      </w:r>
    </w:p>
    <w:p w14:paraId="460084AA">
      <w:pPr>
        <w:rPr>
          <w:color w:val="auto"/>
        </w:rPr>
      </w:pPr>
      <w:r>
        <w:rPr>
          <w:rFonts w:hint="eastAsia"/>
          <w:color w:val="auto"/>
        </w:rPr>
        <w:t>（2）与采购内容相关的资质证书复印件（加盖红章）；</w:t>
      </w:r>
    </w:p>
    <w:p w14:paraId="1CEE4128">
      <w:pPr>
        <w:rPr>
          <w:color w:val="auto"/>
        </w:rPr>
      </w:pPr>
      <w:r>
        <w:rPr>
          <w:rFonts w:hint="eastAsia"/>
          <w:color w:val="auto"/>
        </w:rPr>
        <w:t>（3）与采购内容相关的生产技术能力及设备状况说明。</w:t>
      </w:r>
    </w:p>
    <w:p w14:paraId="7B46555F">
      <w:pPr>
        <w:rPr>
          <w:color w:val="auto"/>
        </w:rPr>
      </w:pPr>
      <w:r>
        <w:rPr>
          <w:color w:val="auto"/>
        </w:rPr>
        <w:t>3.</w:t>
      </w:r>
      <w:r>
        <w:rPr>
          <w:rFonts w:hint="eastAsia"/>
          <w:color w:val="auto"/>
        </w:rPr>
        <w:t>供应商应承担其编制响应文件与递交响应文件所涉及的一切费用。不管采购结果如何，采购人对上述费用不负任何责任。</w:t>
      </w:r>
    </w:p>
    <w:p w14:paraId="54462668">
      <w:pPr>
        <w:rPr>
          <w:color w:val="auto"/>
        </w:rPr>
      </w:pPr>
      <w:r>
        <w:rPr>
          <w:rFonts w:hint="eastAsia"/>
          <w:color w:val="auto"/>
        </w:rPr>
        <w:t>4.本项目不接受联合体参与采购。</w:t>
      </w:r>
    </w:p>
    <w:p w14:paraId="7B45D7BE">
      <w:pPr>
        <w:rPr>
          <w:color w:val="auto"/>
        </w:rPr>
      </w:pPr>
      <w:r>
        <w:rPr>
          <w:rFonts w:hint="eastAsia"/>
          <w:color w:val="auto"/>
        </w:rPr>
        <w:t>（二）本项目落实的政府采购政策</w:t>
      </w:r>
    </w:p>
    <w:p w14:paraId="41728996">
      <w:pPr>
        <w:pStyle w:val="7"/>
        <w:ind w:firstLine="480"/>
        <w:rPr>
          <w:rFonts w:ascii="仿宋"/>
          <w:b w:val="0"/>
          <w:bCs w:val="0"/>
          <w:color w:val="auto"/>
        </w:rPr>
      </w:pPr>
      <w:r>
        <w:rPr>
          <w:rFonts w:hint="eastAsia" w:ascii="仿宋"/>
          <w:b w:val="0"/>
          <w:bCs w:val="0"/>
          <w:color w:val="auto"/>
        </w:rPr>
        <w:t>1.《政府采购促进中小企业发展管理办法》（财库〔2020〕46号），工业和信息化部、国家统计局、国家发展和改革委员会、财政部《关于印发中小企业划型标准规定的通知》（工信部联企业〔2011〕300号）等政府采购文件。供应商所提供服务由小微企业承接，提供中小企业声明函，对小微企业报价给予</w:t>
      </w:r>
      <w:r>
        <w:rPr>
          <w:rFonts w:ascii="仿宋"/>
          <w:b w:val="0"/>
          <w:bCs w:val="0"/>
          <w:color w:val="auto"/>
        </w:rPr>
        <w:t>10%</w:t>
      </w:r>
      <w:r>
        <w:rPr>
          <w:rFonts w:hint="eastAsia" w:ascii="仿宋"/>
          <w:b w:val="0"/>
          <w:bCs w:val="0"/>
          <w:color w:val="auto"/>
        </w:rPr>
        <w:t>的扣除。未提供中小企业声明函的，不享受优惠。</w:t>
      </w:r>
    </w:p>
    <w:p w14:paraId="6215192E">
      <w:pPr>
        <w:pStyle w:val="7"/>
        <w:ind w:firstLine="480"/>
        <w:rPr>
          <w:rFonts w:ascii="仿宋"/>
          <w:b w:val="0"/>
          <w:bCs w:val="0"/>
          <w:color w:val="auto"/>
        </w:rPr>
      </w:pPr>
      <w:r>
        <w:rPr>
          <w:rFonts w:hint="eastAsia" w:ascii="仿宋"/>
          <w:b w:val="0"/>
          <w:bCs w:val="0"/>
          <w:color w:val="auto"/>
        </w:rPr>
        <w:t>2.监狱企业视同小微企业，监狱企业参与采购的需提供由省级以上监狱管理局、戒毒管理局(含新疆生产建设兵团)出具的属于监狱企业的证明文件。</w:t>
      </w:r>
    </w:p>
    <w:p w14:paraId="5E73E3CF">
      <w:pPr>
        <w:pStyle w:val="7"/>
        <w:ind w:firstLine="480"/>
        <w:rPr>
          <w:rFonts w:ascii="仿宋"/>
          <w:b w:val="0"/>
          <w:bCs w:val="0"/>
          <w:color w:val="auto"/>
        </w:rPr>
      </w:pPr>
      <w:r>
        <w:rPr>
          <w:rFonts w:hint="eastAsia" w:ascii="仿宋"/>
          <w:b w:val="0"/>
          <w:bCs w:val="0"/>
          <w:color w:val="auto"/>
        </w:rPr>
        <w:t>3.残疾人福利性单位视同小微企业，残疾人福利性单位参与采购的需提供《残疾人福利性单位声明函》并对声明的真实性负责。残疾人福利性单位属于小微型企业的，不重复享受政策。</w:t>
      </w:r>
    </w:p>
    <w:p w14:paraId="1EF75DD5">
      <w:pPr>
        <w:pStyle w:val="7"/>
        <w:ind w:firstLine="480"/>
        <w:rPr>
          <w:rFonts w:ascii="仿宋"/>
          <w:b w:val="0"/>
          <w:bCs w:val="0"/>
          <w:color w:val="auto"/>
        </w:rPr>
      </w:pPr>
      <w:r>
        <w:rPr>
          <w:rFonts w:hint="eastAsia" w:ascii="仿宋"/>
          <w:b w:val="0"/>
          <w:bCs w:val="0"/>
          <w:color w:val="auto"/>
        </w:rPr>
        <w:t>4.强制采购信息安全认证产品，优先采购节能产品和环境标志产品。提供的产品属于信息安全产品的，供应商应当选择经国家认证的信息安全产品参与采购，并提供由中国信息安全认证中心按国家标准认证颁发的有效认证证书复印件。同等条件下，需方优先采购国家节能和环境标志产品。</w:t>
      </w:r>
    </w:p>
    <w:p w14:paraId="709D815A">
      <w:pPr>
        <w:pStyle w:val="6"/>
        <w:rPr>
          <w:rFonts w:ascii="仿宋" w:hAnsi="仿宋"/>
          <w:color w:val="auto"/>
          <w:szCs w:val="24"/>
        </w:rPr>
      </w:pPr>
      <w:r>
        <w:rPr>
          <w:rFonts w:hint="eastAsia" w:ascii="仿宋" w:hAnsi="仿宋"/>
          <w:color w:val="auto"/>
          <w:szCs w:val="24"/>
        </w:rPr>
        <w:t>二、采购报价</w:t>
      </w:r>
    </w:p>
    <w:p w14:paraId="65784EE2">
      <w:pPr>
        <w:rPr>
          <w:color w:val="auto"/>
        </w:rPr>
      </w:pPr>
      <w:r>
        <w:rPr>
          <w:rFonts w:hint="eastAsia"/>
          <w:color w:val="auto"/>
        </w:rPr>
        <w:t>（一）采购内容和要求</w:t>
      </w:r>
    </w:p>
    <w:p w14:paraId="5377113D">
      <w:pPr>
        <w:rPr>
          <w:color w:val="auto"/>
        </w:rPr>
      </w:pPr>
      <w:r>
        <w:rPr>
          <w:rFonts w:hint="eastAsia"/>
          <w:color w:val="auto"/>
        </w:rPr>
        <w:t>1.采购内容：南京大学后勤管理零代码应用平台。</w:t>
      </w:r>
    </w:p>
    <w:p w14:paraId="19DD2289">
      <w:pPr>
        <w:rPr>
          <w:color w:val="auto"/>
        </w:rPr>
      </w:pPr>
      <w:r>
        <w:rPr>
          <w:rFonts w:hint="eastAsia"/>
          <w:color w:val="auto"/>
        </w:rPr>
        <w:t>2.采购要求：详见附件《南京大学后勤管理零代码应用平台采购需求》。供应商可通过专业技术对采购需求进一步优化，但需征得甲方同意。</w:t>
      </w:r>
    </w:p>
    <w:p w14:paraId="5525923A">
      <w:pPr>
        <w:rPr>
          <w:color w:val="auto"/>
        </w:rPr>
      </w:pPr>
      <w:r>
        <w:rPr>
          <w:rFonts w:hint="eastAsia"/>
          <w:color w:val="auto"/>
        </w:rPr>
        <w:t>（二）服务时间和地点</w:t>
      </w:r>
    </w:p>
    <w:p w14:paraId="1D67ABB1">
      <w:pPr>
        <w:rPr>
          <w:color w:val="auto"/>
        </w:rPr>
      </w:pPr>
      <w:r>
        <w:rPr>
          <w:rFonts w:hint="eastAsia"/>
          <w:color w:val="auto"/>
        </w:rPr>
        <w:t>1.服务时间：甲方可独立操作应用且自验收合格之日起计算合同时间。</w:t>
      </w:r>
    </w:p>
    <w:p w14:paraId="2D325901">
      <w:pPr>
        <w:rPr>
          <w:color w:val="auto"/>
        </w:rPr>
      </w:pPr>
      <w:r>
        <w:rPr>
          <w:color w:val="auto"/>
        </w:rPr>
        <w:t>2.</w:t>
      </w:r>
      <w:r>
        <w:rPr>
          <w:rFonts w:hint="eastAsia"/>
          <w:color w:val="auto"/>
        </w:rPr>
        <w:t>服务地点：南京大学仙林校区。</w:t>
      </w:r>
    </w:p>
    <w:p w14:paraId="683369CA">
      <w:pPr>
        <w:rPr>
          <w:color w:val="auto"/>
        </w:rPr>
      </w:pPr>
      <w:r>
        <w:rPr>
          <w:rFonts w:hint="eastAsia"/>
          <w:color w:val="auto"/>
        </w:rPr>
        <w:t>（三）采购报价</w:t>
      </w:r>
    </w:p>
    <w:p w14:paraId="29B4F75A">
      <w:pPr>
        <w:rPr>
          <w:color w:val="auto"/>
        </w:rPr>
      </w:pPr>
      <w:r>
        <w:rPr>
          <w:rFonts w:hint="eastAsia"/>
          <w:color w:val="auto"/>
        </w:rPr>
        <w:t>1、采购报价是指采购文件所确定的全部工作内容实现的价格体现，包括但不限于首次开发、二次开发、数据对接、本采购文件之外新项目开发所需的各类成本、保险、利润、税收及风险费等全部费用。</w:t>
      </w:r>
    </w:p>
    <w:p w14:paraId="1528704D">
      <w:pPr>
        <w:rPr>
          <w:color w:val="auto"/>
        </w:rPr>
      </w:pPr>
      <w:r>
        <w:rPr>
          <w:rFonts w:hint="eastAsia"/>
          <w:color w:val="auto"/>
        </w:rPr>
        <w:t>2、本次采购报价采用购买账户数量的方式进行报价，即每个账户每年所需要的费用。本合同期为2年。本次采购供应商应按采购文件要求编制报价表，报价表必须详细列明所报价格的组成内容，包括服务方案、执行、目标达成等。报价应是优惠后的报价，所有价格全部采用人民币表示。</w:t>
      </w:r>
    </w:p>
    <w:p w14:paraId="68CB4477">
      <w:pPr>
        <w:rPr>
          <w:color w:val="auto"/>
        </w:rPr>
      </w:pPr>
      <w:r>
        <w:rPr>
          <w:rFonts w:hint="eastAsia"/>
          <w:color w:val="auto"/>
        </w:rPr>
        <w:t>3、采购报价方式采用固定总价报价。本次采购预算金额4.8万元。最终报价（含优惠措施）不得超过预算金额。</w:t>
      </w:r>
    </w:p>
    <w:p w14:paraId="10A1FB16">
      <w:pPr>
        <w:rPr>
          <w:color w:val="auto"/>
        </w:rPr>
      </w:pPr>
      <w:r>
        <w:rPr>
          <w:rFonts w:hint="eastAsia"/>
          <w:color w:val="auto"/>
        </w:rPr>
        <w:t>4、本次采购报价文件应包含：1）培训开始时间、培训次数、预计培训完成时间等培训方案；2）售后服务方案；3）此平台中甲方所有应用的数据库应满足本地存储的需要，提供存储在甲方服务器中的承诺与技术支持。</w:t>
      </w:r>
    </w:p>
    <w:p w14:paraId="7999A646">
      <w:pPr>
        <w:pStyle w:val="6"/>
        <w:rPr>
          <w:rFonts w:ascii="仿宋" w:hAnsi="仿宋"/>
          <w:color w:val="auto"/>
          <w:szCs w:val="24"/>
        </w:rPr>
      </w:pPr>
      <w:r>
        <w:rPr>
          <w:rFonts w:hint="eastAsia" w:ascii="仿宋" w:hAnsi="仿宋"/>
          <w:color w:val="auto"/>
          <w:szCs w:val="24"/>
        </w:rPr>
        <w:t>三、响应文件的编制</w:t>
      </w:r>
    </w:p>
    <w:p w14:paraId="168CCB69">
      <w:pPr>
        <w:rPr>
          <w:color w:val="auto"/>
        </w:rPr>
      </w:pPr>
      <w:r>
        <w:rPr>
          <w:rFonts w:hint="eastAsia"/>
          <w:color w:val="auto"/>
        </w:rPr>
        <w:t>（一）响应文件的组成</w:t>
      </w:r>
    </w:p>
    <w:p w14:paraId="326437EA">
      <w:pPr>
        <w:rPr>
          <w:color w:val="auto"/>
        </w:rPr>
      </w:pPr>
      <w:r>
        <w:rPr>
          <w:rFonts w:hint="eastAsia"/>
          <w:color w:val="auto"/>
        </w:rPr>
        <w:t>1.资质性证明文件（详见本采购文件总则规定的资质文件）；</w:t>
      </w:r>
    </w:p>
    <w:p w14:paraId="49C1CB66">
      <w:pPr>
        <w:rPr>
          <w:color w:val="auto"/>
        </w:rPr>
      </w:pPr>
      <w:r>
        <w:rPr>
          <w:rFonts w:hint="eastAsia"/>
          <w:color w:val="auto"/>
        </w:rPr>
        <w:t>2.报价文件；</w:t>
      </w:r>
    </w:p>
    <w:p w14:paraId="2AA4D528">
      <w:pPr>
        <w:rPr>
          <w:color w:val="auto"/>
        </w:rPr>
      </w:pPr>
      <w:r>
        <w:rPr>
          <w:rFonts w:hint="eastAsia"/>
          <w:color w:val="auto"/>
        </w:rPr>
        <w:t>3.技术、商务应答文件（含售后服务方案、培训方案、本地存储等）；</w:t>
      </w:r>
    </w:p>
    <w:p w14:paraId="109235DA">
      <w:pPr>
        <w:rPr>
          <w:color w:val="auto"/>
        </w:rPr>
      </w:pPr>
      <w:r>
        <w:rPr>
          <w:rFonts w:hint="eastAsia"/>
          <w:color w:val="auto"/>
        </w:rPr>
        <w:t>4.产品性能指标说明和采购响应方案；</w:t>
      </w:r>
    </w:p>
    <w:p w14:paraId="5428A943">
      <w:pPr>
        <w:rPr>
          <w:color w:val="auto"/>
        </w:rPr>
      </w:pPr>
      <w:r>
        <w:rPr>
          <w:rFonts w:hint="eastAsia"/>
          <w:color w:val="auto"/>
        </w:rPr>
        <w:t>5.采购承诺函（包括本次采购目标达成和本次期满后的承诺或方案）；</w:t>
      </w:r>
    </w:p>
    <w:p w14:paraId="36F24A9A">
      <w:pPr>
        <w:rPr>
          <w:color w:val="auto"/>
        </w:rPr>
      </w:pPr>
      <w:r>
        <w:rPr>
          <w:rFonts w:hint="eastAsia"/>
          <w:color w:val="auto"/>
        </w:rPr>
        <w:t>6.供应商提供全新正品行货、质量保障和售后服务等承诺函；</w:t>
      </w:r>
    </w:p>
    <w:p w14:paraId="0824D8EE">
      <w:pPr>
        <w:rPr>
          <w:color w:val="auto"/>
        </w:rPr>
      </w:pPr>
      <w:r>
        <w:rPr>
          <w:rFonts w:hint="eastAsia"/>
          <w:color w:val="auto"/>
        </w:rPr>
        <w:t>7.其他技术、商务、甲方使用等方面必要的说明或告知等。</w:t>
      </w:r>
    </w:p>
    <w:p w14:paraId="69A88D59">
      <w:pPr>
        <w:rPr>
          <w:color w:val="auto"/>
        </w:rPr>
      </w:pPr>
      <w:r>
        <w:rPr>
          <w:rFonts w:hint="eastAsia"/>
          <w:color w:val="auto"/>
        </w:rPr>
        <w:t>（二）响应文件的编制</w:t>
      </w:r>
    </w:p>
    <w:p w14:paraId="02438B44">
      <w:pPr>
        <w:rPr>
          <w:color w:val="auto"/>
        </w:rPr>
      </w:pPr>
      <w:r>
        <w:rPr>
          <w:rFonts w:hint="eastAsia"/>
          <w:color w:val="auto"/>
        </w:rPr>
        <w:t>以上材料需</w:t>
      </w:r>
      <w:r>
        <w:rPr>
          <w:rFonts w:hint="eastAsia"/>
          <w:b/>
          <w:color w:val="auto"/>
        </w:rPr>
        <w:t>逐页编码并加盖供应商公章</w:t>
      </w:r>
      <w:r>
        <w:rPr>
          <w:rFonts w:hint="eastAsia"/>
          <w:color w:val="auto"/>
        </w:rPr>
        <w:t>并按上述</w:t>
      </w:r>
      <w:r>
        <w:rPr>
          <w:rFonts w:hint="eastAsia"/>
          <w:b/>
          <w:color w:val="auto"/>
        </w:rPr>
        <w:t>顺序</w:t>
      </w:r>
      <w:r>
        <w:rPr>
          <w:rFonts w:hint="eastAsia"/>
          <w:color w:val="auto"/>
        </w:rPr>
        <w:t>排列装订成册</w:t>
      </w:r>
      <w:r>
        <w:rPr>
          <w:rFonts w:hint="eastAsia"/>
          <w:b/>
          <w:color w:val="auto"/>
        </w:rPr>
        <w:t>并加盖骑缝章</w:t>
      </w:r>
      <w:r>
        <w:rPr>
          <w:rFonts w:hint="eastAsia"/>
          <w:color w:val="auto"/>
        </w:rPr>
        <w:t>，并在首页编制“响应文件目录”。如有弄虚作假者作采购无效处理，采购人有权追究其法律责任。</w:t>
      </w:r>
    </w:p>
    <w:p w14:paraId="3461D0AD">
      <w:pPr>
        <w:pStyle w:val="6"/>
        <w:rPr>
          <w:rFonts w:ascii="仿宋" w:hAnsi="仿宋"/>
          <w:color w:val="auto"/>
          <w:szCs w:val="24"/>
        </w:rPr>
      </w:pPr>
      <w:r>
        <w:rPr>
          <w:rFonts w:hint="eastAsia" w:ascii="仿宋" w:hAnsi="仿宋"/>
          <w:color w:val="auto"/>
          <w:szCs w:val="24"/>
        </w:rPr>
        <w:t>四、响应文件的递交</w:t>
      </w:r>
    </w:p>
    <w:p w14:paraId="278F4CCC">
      <w:pPr>
        <w:rPr>
          <w:color w:val="auto"/>
        </w:rPr>
      </w:pPr>
      <w:r>
        <w:rPr>
          <w:rFonts w:hint="eastAsia"/>
          <w:color w:val="auto"/>
        </w:rPr>
        <w:t>（一）响应文件的份数</w:t>
      </w:r>
    </w:p>
    <w:p w14:paraId="3F8200AE">
      <w:pPr>
        <w:rPr>
          <w:color w:val="auto"/>
        </w:rPr>
      </w:pPr>
      <w:r>
        <w:rPr>
          <w:rFonts w:hint="eastAsia"/>
          <w:color w:val="auto"/>
        </w:rPr>
        <w:t>1.响应文件壹式肆份，正本壹份、副本叁份，并在响应文件封面右上角明确标明“正本”和“副本”。除缺页漏页外，正本和副本的内容应一致，否则响应文件无效。若响应文件数量与采购文件要求不一致，其响应文件可能被拒收，已接收的视为无效响应。因缺页漏页导致正本和副本内容不一致的，以正本为准。</w:t>
      </w:r>
    </w:p>
    <w:p w14:paraId="7960F37E">
      <w:pPr>
        <w:rPr>
          <w:color w:val="auto"/>
        </w:rPr>
      </w:pPr>
      <w:r>
        <w:rPr>
          <w:rFonts w:hint="eastAsia"/>
          <w:color w:val="auto"/>
        </w:rPr>
        <w:t>2.响应文件应装袋密封，并另附报价一览表（格式见附件）单独分装于密封袋内。密封袋包装外应注明项目编号、项目名称、供应商名称、联系人姓名及联系方式；并在包装封口处加盖印章。</w:t>
      </w:r>
    </w:p>
    <w:p w14:paraId="176A1246">
      <w:pPr>
        <w:rPr>
          <w:color w:val="auto"/>
        </w:rPr>
      </w:pPr>
      <w:r>
        <w:rPr>
          <w:rFonts w:hint="eastAsia"/>
          <w:color w:val="auto"/>
        </w:rPr>
        <w:t>3.全套响应文件应无涂改和行间插字现象，遇有必须修改或添加的内容，修改或添加处应由响应文件签署人加盖印鉴或盖供应商公章。</w:t>
      </w:r>
    </w:p>
    <w:p w14:paraId="079DF64C">
      <w:pPr>
        <w:rPr>
          <w:color w:val="auto"/>
        </w:rPr>
      </w:pPr>
      <w:r>
        <w:rPr>
          <w:rFonts w:hint="eastAsia"/>
          <w:color w:val="auto"/>
        </w:rPr>
        <w:t>（二）响应文件的递交</w:t>
      </w:r>
    </w:p>
    <w:p w14:paraId="51FE6B0B">
      <w:pPr>
        <w:rPr>
          <w:color w:val="auto"/>
        </w:rPr>
      </w:pPr>
      <w:r>
        <w:rPr>
          <w:rFonts w:hint="eastAsia"/>
          <w:color w:val="auto"/>
        </w:rPr>
        <w:t>响应文件应在采购文件规定的采购时间送达指定地点；逾期递交的响应文件，采购人概不受理。</w:t>
      </w:r>
    </w:p>
    <w:p w14:paraId="239E4BCD">
      <w:pPr>
        <w:pStyle w:val="6"/>
        <w:rPr>
          <w:rFonts w:ascii="仿宋" w:hAnsi="仿宋"/>
          <w:color w:val="auto"/>
          <w:szCs w:val="24"/>
        </w:rPr>
      </w:pPr>
      <w:r>
        <w:rPr>
          <w:rFonts w:hint="eastAsia" w:ascii="仿宋" w:hAnsi="仿宋"/>
          <w:color w:val="auto"/>
          <w:szCs w:val="24"/>
        </w:rPr>
        <w:t>五、采购</w:t>
      </w:r>
    </w:p>
    <w:p w14:paraId="0ACEB9DD">
      <w:pPr>
        <w:rPr>
          <w:color w:val="auto"/>
        </w:rPr>
      </w:pPr>
      <w:r>
        <w:rPr>
          <w:rFonts w:hint="eastAsia"/>
          <w:color w:val="auto"/>
        </w:rPr>
        <w:t>（一）采购工作</w:t>
      </w:r>
    </w:p>
    <w:p w14:paraId="37BD0437">
      <w:pPr>
        <w:rPr>
          <w:color w:val="auto"/>
        </w:rPr>
      </w:pPr>
      <w:r>
        <w:rPr>
          <w:rFonts w:hint="eastAsia"/>
          <w:color w:val="auto"/>
        </w:rPr>
        <w:t>采购工作由南京大学后勤服务集团物业中心组织。</w:t>
      </w:r>
    </w:p>
    <w:p w14:paraId="5C5FC2B2">
      <w:pPr>
        <w:rPr>
          <w:color w:val="auto"/>
        </w:rPr>
      </w:pPr>
      <w:r>
        <w:rPr>
          <w:rFonts w:hint="eastAsia"/>
          <w:color w:val="auto"/>
        </w:rPr>
        <w:t>（二）采购须知</w:t>
      </w:r>
    </w:p>
    <w:p w14:paraId="60BD0E83">
      <w:pPr>
        <w:rPr>
          <w:snapToGrid w:val="0"/>
          <w:color w:val="auto"/>
        </w:rPr>
      </w:pPr>
      <w:r>
        <w:rPr>
          <w:rFonts w:hint="eastAsia"/>
          <w:snapToGrid w:val="0"/>
          <w:color w:val="auto"/>
        </w:rPr>
        <w:t>1.为了有助于响应文件的审查、评价和比较，评审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FE2AE5A">
      <w:pPr>
        <w:rPr>
          <w:snapToGrid w:val="0"/>
          <w:color w:val="auto"/>
        </w:rPr>
      </w:pPr>
      <w:r>
        <w:rPr>
          <w:rFonts w:hint="eastAsia"/>
          <w:snapToGrid w:val="0"/>
          <w:color w:val="auto"/>
        </w:rPr>
        <w:t>2.响应文件报价出现前后不一致的，除采购文件另有约定外，将按下述原则进行修正：</w:t>
      </w:r>
    </w:p>
    <w:p w14:paraId="464788B7">
      <w:pPr>
        <w:rPr>
          <w:snapToGrid w:val="0"/>
          <w:color w:val="auto"/>
        </w:rPr>
      </w:pPr>
      <w:r>
        <w:rPr>
          <w:rFonts w:hint="eastAsia"/>
          <w:snapToGrid w:val="0"/>
          <w:color w:val="auto"/>
        </w:rPr>
        <w:t>（1）用数字表示的数额与用文字表示的数额不一致时，以文字数额为准。</w:t>
      </w:r>
    </w:p>
    <w:p w14:paraId="41549C0A">
      <w:pPr>
        <w:rPr>
          <w:snapToGrid w:val="0"/>
          <w:color w:val="auto"/>
        </w:rPr>
      </w:pPr>
      <w:r>
        <w:rPr>
          <w:rFonts w:hint="eastAsia"/>
          <w:snapToGrid w:val="0"/>
          <w:color w:val="auto"/>
        </w:rPr>
        <w:t>（2）响应文件的大写金额和小写金额不一致的，以大写金额为准；总价金额与按单价汇总金额不一致的，以单价金额计算结果为准；单价金额小数点有明显错位的，应以总价为准，并修改单价。按前款规定调整后的报价经供应商确认后产生约束力。</w:t>
      </w:r>
    </w:p>
    <w:p w14:paraId="65F2F104">
      <w:pPr>
        <w:rPr>
          <w:snapToGrid w:val="0"/>
          <w:color w:val="auto"/>
        </w:rPr>
      </w:pPr>
      <w:r>
        <w:rPr>
          <w:rFonts w:hint="eastAsia"/>
          <w:snapToGrid w:val="0"/>
          <w:color w:val="auto"/>
        </w:rPr>
        <w:t>（3）对不同文字文本响应文件的解释发生异议的，以中文文本为准。</w:t>
      </w:r>
    </w:p>
    <w:p w14:paraId="341507F0">
      <w:pPr>
        <w:rPr>
          <w:snapToGrid w:val="0"/>
          <w:color w:val="auto"/>
        </w:rPr>
      </w:pPr>
      <w:r>
        <w:rPr>
          <w:rFonts w:hint="eastAsia"/>
          <w:snapToGrid w:val="0"/>
          <w:color w:val="auto"/>
        </w:rPr>
        <w:t>3.在采购过程中，评审委员会若发现供应商的报价明显低于其他供应商的，可要求该供应商做出书面合理说明。如供应商做出的报价解释不合理、未能获得评审委员会认可的，其响应文件将作无效响应处理。</w:t>
      </w:r>
    </w:p>
    <w:p w14:paraId="25DE41BB">
      <w:pPr>
        <w:rPr>
          <w:snapToGrid w:val="0"/>
          <w:color w:val="auto"/>
        </w:rPr>
      </w:pPr>
      <w:r>
        <w:rPr>
          <w:rFonts w:hint="eastAsia"/>
          <w:snapToGrid w:val="0"/>
          <w:color w:val="auto"/>
        </w:rPr>
        <w:t>4.在采购过程中，评审委员会可根据采购文件和采购情况实质性变动采购需求中的技术、服务要求以及合同草案条款；供应商按照变更后的采购需求递交相应承诺文件，承诺文件视为响应文件的有效组成部分。</w:t>
      </w:r>
      <w:r>
        <w:rPr>
          <w:snapToGrid w:val="0"/>
          <w:color w:val="auto"/>
        </w:rPr>
        <w:t xml:space="preserve"> </w:t>
      </w:r>
    </w:p>
    <w:p w14:paraId="5509C9BF">
      <w:pPr>
        <w:rPr>
          <w:color w:val="auto"/>
        </w:rPr>
      </w:pPr>
      <w:r>
        <w:rPr>
          <w:rFonts w:hint="eastAsia"/>
          <w:color w:val="auto"/>
        </w:rPr>
        <w:t>（三）采购原则：综合评分法</w:t>
      </w:r>
    </w:p>
    <w:p w14:paraId="3EA7CDBC">
      <w:pPr>
        <w:rPr>
          <w:rFonts w:hint="eastAsia"/>
          <w:color w:val="auto"/>
        </w:rPr>
      </w:pPr>
      <w:r>
        <w:rPr>
          <w:rFonts w:hint="eastAsia"/>
          <w:color w:val="auto"/>
        </w:rPr>
        <w:t xml:space="preserve">本文所称综合评分法，指由物业中心组织评审委员会对满足采购文件全部实质性要求的响应文件，根据评审因素的量化指标进行评审，确定得分最高的供应商为成交供应商的评审办法。评审委员会根据各供应商的最终报价、技术方案、业绩、服务、优惠承诺、对采购文件的响应程度等进行评价，按照采购文件规定的比重或者权值等进行打分、进而确定成交供应商。 </w:t>
      </w:r>
      <w:r>
        <w:rPr>
          <w:color w:val="auto"/>
        </w:rPr>
        <w:t xml:space="preserve"> </w:t>
      </w:r>
    </w:p>
    <w:p w14:paraId="0411D0B2">
      <w:pPr>
        <w:rPr>
          <w:color w:val="auto"/>
        </w:rPr>
      </w:pPr>
      <w:r>
        <w:rPr>
          <w:rFonts w:hint="eastAsia"/>
          <w:color w:val="auto"/>
        </w:rPr>
        <w:t>（</w:t>
      </w:r>
      <w:r>
        <w:rPr>
          <w:rFonts w:hint="eastAsia"/>
          <w:color w:val="auto"/>
          <w:lang w:val="en-US" w:eastAsia="zh-CN"/>
        </w:rPr>
        <w:t>四</w:t>
      </w:r>
      <w:r>
        <w:rPr>
          <w:rFonts w:hint="eastAsia"/>
          <w:color w:val="auto"/>
        </w:rPr>
        <w:t>）无效响应</w:t>
      </w:r>
    </w:p>
    <w:p w14:paraId="3A7FFF47">
      <w:pPr>
        <w:rPr>
          <w:color w:val="auto"/>
        </w:rPr>
      </w:pPr>
      <w:r>
        <w:rPr>
          <w:rFonts w:hint="eastAsia"/>
          <w:color w:val="auto"/>
        </w:rPr>
        <w:t>如出现下列情形之一的，视为对采购文件未做出实质性响应，按照无效响应处理：</w:t>
      </w:r>
    </w:p>
    <w:p w14:paraId="5B710CA0">
      <w:pPr>
        <w:rPr>
          <w:color w:val="auto"/>
        </w:rPr>
      </w:pPr>
      <w:r>
        <w:rPr>
          <w:rFonts w:hint="eastAsia"/>
          <w:color w:val="auto"/>
        </w:rPr>
        <w:t>1.未按规定提交本采购文件《总则》“供应商的资格和资质要求”部分要求的资质文件；</w:t>
      </w:r>
    </w:p>
    <w:p w14:paraId="1AFE3B0E">
      <w:pPr>
        <w:rPr>
          <w:color w:val="auto"/>
        </w:rPr>
      </w:pPr>
      <w:r>
        <w:rPr>
          <w:rFonts w:hint="eastAsia"/>
          <w:color w:val="auto"/>
        </w:rPr>
        <w:t>2.未按照采购文件要求密封、签署、盖章；</w:t>
      </w:r>
    </w:p>
    <w:p w14:paraId="262C5544">
      <w:pPr>
        <w:rPr>
          <w:color w:val="auto"/>
        </w:rPr>
      </w:pPr>
      <w:r>
        <w:rPr>
          <w:rFonts w:hint="eastAsia"/>
          <w:color w:val="auto"/>
        </w:rPr>
        <w:t>3.最终报价高于最高限价（预算）；</w:t>
      </w:r>
    </w:p>
    <w:p w14:paraId="0DCFC8A1">
      <w:pPr>
        <w:rPr>
          <w:color w:val="auto"/>
        </w:rPr>
      </w:pPr>
      <w:r>
        <w:rPr>
          <w:rFonts w:hint="eastAsia"/>
          <w:color w:val="auto"/>
        </w:rPr>
        <w:t>4.不符合或不满足国家法律法规及采购文件规定的资质条件和其他实质性条款；</w:t>
      </w:r>
    </w:p>
    <w:p w14:paraId="7750816E">
      <w:pPr>
        <w:rPr>
          <w:color w:val="auto"/>
        </w:rPr>
      </w:pPr>
      <w:r>
        <w:rPr>
          <w:rFonts w:hint="eastAsia"/>
          <w:color w:val="auto"/>
        </w:rPr>
        <w:t>5.响应文件技术、商务应答有重大偏差（包括但不限于标★的关键指标负偏离）以及评审委员会认定的其他重大偏差；</w:t>
      </w:r>
    </w:p>
    <w:p w14:paraId="66825AF6">
      <w:pPr>
        <w:rPr>
          <w:color w:val="auto"/>
        </w:rPr>
      </w:pPr>
      <w:r>
        <w:rPr>
          <w:rFonts w:hint="eastAsia"/>
          <w:color w:val="auto"/>
        </w:rPr>
        <w:t>6.同一供应商提交两个及以上不同的响应文件或者报价（采购文件要求提交备选的除外）；</w:t>
      </w:r>
    </w:p>
    <w:p w14:paraId="31E86EE7">
      <w:pPr>
        <w:rPr>
          <w:color w:val="auto"/>
        </w:rPr>
      </w:pPr>
      <w:r>
        <w:rPr>
          <w:rFonts w:hint="eastAsia"/>
          <w:color w:val="auto"/>
        </w:rPr>
        <w:t>7.供应商对同一产品提供两种及以上不同币种的报价（采购文件要求的除外）；</w:t>
      </w:r>
    </w:p>
    <w:p w14:paraId="3CF35E19">
      <w:pPr>
        <w:rPr>
          <w:color w:val="auto"/>
        </w:rPr>
      </w:pPr>
      <w:r>
        <w:rPr>
          <w:rFonts w:hint="eastAsia"/>
          <w:color w:val="auto"/>
        </w:rPr>
        <w:t>8.提供的产品明显不符合技术规范、技术标准的要求；</w:t>
      </w:r>
    </w:p>
    <w:p w14:paraId="5F6DB82D">
      <w:pPr>
        <w:rPr>
          <w:color w:val="auto"/>
        </w:rPr>
      </w:pPr>
      <w:r>
        <w:rPr>
          <w:color w:val="auto"/>
        </w:rPr>
        <w:t>9.</w:t>
      </w:r>
      <w:r>
        <w:rPr>
          <w:rFonts w:hint="eastAsia"/>
          <w:color w:val="auto"/>
        </w:rPr>
        <w:t>经评审委员会认定，供应商存在《南京大学招标采购项目供应商管理办法》界定的恶意串通行为；</w:t>
      </w:r>
    </w:p>
    <w:p w14:paraId="0F3F810D">
      <w:pPr>
        <w:rPr>
          <w:color w:val="auto"/>
        </w:rPr>
      </w:pPr>
      <w:r>
        <w:rPr>
          <w:rFonts w:hint="eastAsia"/>
          <w:color w:val="auto"/>
        </w:rPr>
        <w:t>10.响应文件关键内容模糊、无法辨认；</w:t>
      </w:r>
    </w:p>
    <w:p w14:paraId="12467604">
      <w:pPr>
        <w:rPr>
          <w:color w:val="auto"/>
        </w:rPr>
      </w:pPr>
      <w:r>
        <w:rPr>
          <w:rFonts w:hint="eastAsia"/>
          <w:color w:val="auto"/>
        </w:rPr>
        <w:t>1</w:t>
      </w:r>
      <w:r>
        <w:rPr>
          <w:color w:val="auto"/>
        </w:rPr>
        <w:t>1.</w:t>
      </w:r>
      <w:r>
        <w:rPr>
          <w:rFonts w:hint="eastAsia"/>
          <w:color w:val="auto"/>
        </w:rPr>
        <w:t>采购人不能接受的其他条款。</w:t>
      </w:r>
    </w:p>
    <w:p w14:paraId="4FB26A29">
      <w:pPr>
        <w:rPr>
          <w:color w:val="auto"/>
        </w:rPr>
      </w:pPr>
      <w:r>
        <w:rPr>
          <w:rFonts w:hint="eastAsia"/>
          <w:color w:val="auto"/>
        </w:rPr>
        <w:t>（</w:t>
      </w:r>
      <w:r>
        <w:rPr>
          <w:rFonts w:hint="eastAsia"/>
          <w:color w:val="auto"/>
          <w:lang w:val="en-US" w:eastAsia="zh-CN"/>
        </w:rPr>
        <w:t>五</w:t>
      </w:r>
      <w:r>
        <w:rPr>
          <w:rFonts w:hint="eastAsia"/>
          <w:color w:val="auto"/>
        </w:rPr>
        <w:t>）确定成交候选人</w:t>
      </w:r>
    </w:p>
    <w:p w14:paraId="0A9F7FEA">
      <w:pPr>
        <w:rPr>
          <w:color w:val="auto"/>
        </w:rPr>
      </w:pPr>
      <w:r>
        <w:rPr>
          <w:rFonts w:hint="eastAsia"/>
          <w:color w:val="auto"/>
        </w:rPr>
        <w:t>1.采购委员会按照采购文件有关规定,给各有效响应文件评分。</w:t>
      </w:r>
    </w:p>
    <w:p w14:paraId="23FADF65">
      <w:pPr>
        <w:rPr>
          <w:color w:val="auto"/>
        </w:rPr>
      </w:pPr>
      <w:r>
        <w:rPr>
          <w:rFonts w:hint="eastAsia"/>
          <w:color w:val="auto"/>
        </w:rPr>
        <w:t>2.各供应商的得分为各评委所评定分数的算术平均值。</w:t>
      </w:r>
    </w:p>
    <w:p w14:paraId="6A58DFAF">
      <w:pPr>
        <w:rPr>
          <w:color w:val="auto"/>
        </w:rPr>
      </w:pPr>
      <w:r>
        <w:rPr>
          <w:rFonts w:hint="eastAsia"/>
          <w:color w:val="auto"/>
        </w:rPr>
        <w:t>3.各项统计、评分结果均按四舍五入方法精确到小数点后两位。</w:t>
      </w:r>
    </w:p>
    <w:p w14:paraId="6E8A2D0A">
      <w:pPr>
        <w:rPr>
          <w:color w:val="auto"/>
        </w:rPr>
      </w:pPr>
      <w:r>
        <w:rPr>
          <w:rFonts w:hint="eastAsia"/>
          <w:color w:val="auto"/>
        </w:rPr>
        <w:t>4.采购委员会根据各供应商的最终得分,按高低次序确定供应商最终的排列名次，综合排名第一名作为成交候选人。得分相同的，按报价由低到高顺序排序。得分且报价相同的，则商务及技术分数得分高的排名优先。</w:t>
      </w:r>
    </w:p>
    <w:p w14:paraId="45EECB20">
      <w:pPr>
        <w:rPr>
          <w:color w:val="auto"/>
        </w:rPr>
      </w:pPr>
      <w:r>
        <w:rPr>
          <w:rFonts w:hint="eastAsia"/>
          <w:color w:val="auto"/>
        </w:rPr>
        <w:t>六、授予合同</w:t>
      </w:r>
    </w:p>
    <w:p w14:paraId="74F35314">
      <w:pPr>
        <w:rPr>
          <w:color w:val="auto"/>
        </w:rPr>
      </w:pPr>
      <w:r>
        <w:rPr>
          <w:rFonts w:hint="eastAsia"/>
          <w:color w:val="auto"/>
        </w:rPr>
        <w:t>（一）成交</w:t>
      </w:r>
    </w:p>
    <w:p w14:paraId="35C718E8">
      <w:pPr>
        <w:rPr>
          <w:color w:val="auto"/>
        </w:rPr>
      </w:pPr>
      <w:r>
        <w:rPr>
          <w:rFonts w:hint="eastAsia"/>
          <w:color w:val="auto"/>
        </w:rPr>
        <w:t>1.确定成交供应商后，采购人电话向成交供应商告知；</w:t>
      </w:r>
    </w:p>
    <w:p w14:paraId="321352D3">
      <w:pPr>
        <w:rPr>
          <w:color w:val="auto"/>
        </w:rPr>
      </w:pPr>
      <w:r>
        <w:rPr>
          <w:rFonts w:hint="eastAsia"/>
          <w:color w:val="auto"/>
        </w:rPr>
        <w:t>2.对未成交的供应商，采购人可以不解释未成交原因，响应文件一律不予退还。</w:t>
      </w:r>
    </w:p>
    <w:p w14:paraId="559EDB06">
      <w:pPr>
        <w:rPr>
          <w:color w:val="auto"/>
        </w:rPr>
      </w:pPr>
      <w:r>
        <w:rPr>
          <w:rFonts w:hint="eastAsia"/>
          <w:color w:val="auto"/>
        </w:rPr>
        <w:t>（二）合同签订</w:t>
      </w:r>
    </w:p>
    <w:p w14:paraId="4A455949">
      <w:pPr>
        <w:rPr>
          <w:color w:val="auto"/>
        </w:rPr>
      </w:pPr>
      <w:r>
        <w:rPr>
          <w:rFonts w:hint="eastAsia"/>
          <w:color w:val="auto"/>
        </w:rPr>
        <w:t>1.成交供应商按采购人告知要求在规定时间内签订合同；在规定时间内不与采购</w:t>
      </w:r>
      <w:bookmarkStart w:id="4" w:name="_GoBack"/>
      <w:bookmarkEnd w:id="4"/>
      <w:r>
        <w:rPr>
          <w:rFonts w:hint="eastAsia"/>
          <w:color w:val="auto"/>
        </w:rPr>
        <w:t>人签订合同的，则视为自动放弃成交资格。</w:t>
      </w:r>
    </w:p>
    <w:p w14:paraId="617F12C5">
      <w:pPr>
        <w:rPr>
          <w:color w:val="auto"/>
        </w:rPr>
      </w:pPr>
      <w:r>
        <w:rPr>
          <w:rFonts w:hint="eastAsia"/>
          <w:color w:val="auto"/>
        </w:rPr>
        <w:t>2.合同签订方式：书面签订；传真或扫描件无效。</w:t>
      </w:r>
    </w:p>
    <w:p w14:paraId="62FFF3D2">
      <w:pPr>
        <w:rPr>
          <w:color w:val="auto"/>
        </w:rPr>
      </w:pPr>
      <w:r>
        <w:rPr>
          <w:color w:val="auto"/>
        </w:rPr>
        <w:t>3.</w:t>
      </w:r>
      <w:r>
        <w:rPr>
          <w:rFonts w:hint="eastAsia"/>
          <w:color w:val="auto"/>
        </w:rPr>
        <w:t>合同签订后，双方均必须认真履行，不论何种情况，合同项目综合单价不予调整。服务中如发现有非响应文件约定的产品，或产品质量达不到约定的要求，供应商必须无条件退换并承担因此发生的一切费用，且南京大学有权立刻终止合同并保留诉讼的权利。</w:t>
      </w:r>
    </w:p>
    <w:p w14:paraId="3EAD96D1">
      <w:pPr>
        <w:pStyle w:val="6"/>
        <w:rPr>
          <w:rFonts w:ascii="仿宋" w:hAnsi="仿宋"/>
          <w:color w:val="auto"/>
          <w:szCs w:val="24"/>
        </w:rPr>
      </w:pPr>
      <w:r>
        <w:rPr>
          <w:rFonts w:hint="eastAsia" w:ascii="仿宋" w:hAnsi="仿宋"/>
          <w:color w:val="auto"/>
          <w:szCs w:val="24"/>
        </w:rPr>
        <w:t>七、其他有关事宜</w:t>
      </w:r>
    </w:p>
    <w:p w14:paraId="247FA4E5">
      <w:pPr>
        <w:rPr>
          <w:color w:val="auto"/>
        </w:rPr>
      </w:pPr>
      <w:r>
        <w:rPr>
          <w:rFonts w:hint="eastAsia"/>
          <w:color w:val="auto"/>
        </w:rPr>
        <w:t>1.采购文件中所有内容的解释权归采购人所有。</w:t>
      </w:r>
    </w:p>
    <w:p w14:paraId="4FE5BE48">
      <w:pPr>
        <w:rPr>
          <w:color w:val="auto"/>
        </w:rPr>
      </w:pPr>
      <w:r>
        <w:rPr>
          <w:rFonts w:hint="eastAsia"/>
          <w:color w:val="auto"/>
        </w:rPr>
        <w:t>2.供应商可向南京大学后勤服务集团物业中心登记备案。</w:t>
      </w:r>
    </w:p>
    <w:p w14:paraId="3BC1A8DF">
      <w:pPr>
        <w:rPr>
          <w:color w:val="auto"/>
        </w:rPr>
      </w:pPr>
      <w:r>
        <w:rPr>
          <w:rFonts w:hint="eastAsia"/>
          <w:color w:val="auto"/>
        </w:rPr>
        <w:t>3.如有质疑，供应商须按照《南京大学招标采购项目供应商管理办法》的要求在规定时间内提出，且针对本项目同一采购程序环节的质疑须一次性提出。</w:t>
      </w:r>
    </w:p>
    <w:p w14:paraId="0F784F40">
      <w:pPr>
        <w:rPr>
          <w:color w:val="auto"/>
        </w:rPr>
      </w:pPr>
      <w:r>
        <w:rPr>
          <w:rFonts w:hint="eastAsia"/>
          <w:color w:val="auto"/>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rPr>
          <w:color w:val="auto"/>
        </w:rPr>
      </w:pPr>
      <w:r>
        <w:rPr>
          <w:rFonts w:hint="eastAsia"/>
          <w:color w:val="auto"/>
        </w:rPr>
        <w:t>5.供应商应提供书面承诺供应商提供的设备或其任何一部分，当受到第三方提出的侵犯其专利权、知识产权、商标权或工业设计权的起诉时，一切后果由供应商负责。</w:t>
      </w:r>
    </w:p>
    <w:p w14:paraId="2D79128A">
      <w:pPr>
        <w:rPr>
          <w:color w:val="auto"/>
        </w:rPr>
      </w:pPr>
      <w:r>
        <w:rPr>
          <w:rFonts w:hint="eastAsia"/>
          <w:color w:val="auto"/>
        </w:rPr>
        <w:t>6.入校递交响应文件请提前预约：（关注“南京大学信息门户”微信公众号—门户首页左下角“i校园”—访客通行）</w:t>
      </w:r>
    </w:p>
    <w:p w14:paraId="18C91259">
      <w:pPr>
        <w:rPr>
          <w:color w:val="auto"/>
        </w:rPr>
      </w:pPr>
      <w:r>
        <w:rPr>
          <w:rFonts w:hint="eastAsia"/>
          <w:color w:val="auto"/>
        </w:rPr>
        <w:t>备注：1）请各单位尽量减少入校人数。</w:t>
      </w:r>
    </w:p>
    <w:p w14:paraId="74D1AE7B">
      <w:pPr>
        <w:ind w:firstLine="720" w:firstLineChars="300"/>
        <w:rPr>
          <w:color w:val="auto"/>
        </w:rPr>
      </w:pPr>
      <w:r>
        <w:rPr>
          <w:rFonts w:hint="eastAsia"/>
          <w:color w:val="auto"/>
        </w:rPr>
        <w:t>2）审核单位：</w:t>
      </w:r>
      <w:r>
        <w:rPr>
          <w:rFonts w:hint="eastAsia"/>
          <w:color w:val="auto"/>
          <w:lang w:val="en-US" w:eastAsia="zh-CN"/>
        </w:rPr>
        <w:t>后勤服务集团物业中心办公室</w:t>
      </w:r>
      <w:r>
        <w:rPr>
          <w:rFonts w:hint="eastAsia"/>
          <w:color w:val="auto"/>
        </w:rPr>
        <w:t>；审核人：</w:t>
      </w:r>
      <w:r>
        <w:rPr>
          <w:rFonts w:hint="eastAsia"/>
          <w:color w:val="auto"/>
          <w:lang w:val="en-US" w:eastAsia="zh-CN"/>
        </w:rPr>
        <w:t>房娟</w:t>
      </w:r>
      <w:r>
        <w:rPr>
          <w:rFonts w:hint="eastAsia"/>
          <w:color w:val="auto"/>
        </w:rPr>
        <w:t>。</w:t>
      </w:r>
    </w:p>
    <w:p w14:paraId="2B1F8FD5">
      <w:pPr>
        <w:rPr>
          <w:color w:val="auto"/>
        </w:rPr>
      </w:pPr>
      <w:r>
        <w:rPr>
          <w:rFonts w:hint="eastAsia"/>
          <w:color w:val="auto"/>
        </w:rPr>
        <w:t xml:space="preserve">      3）到访事宜：（填写项目名称）</w:t>
      </w:r>
    </w:p>
    <w:p w14:paraId="6D49D67F">
      <w:pPr>
        <w:rPr>
          <w:color w:val="auto"/>
        </w:rPr>
      </w:pPr>
      <w:r>
        <w:rPr>
          <w:color w:val="auto"/>
        </w:rPr>
        <w:br w:type="page"/>
      </w:r>
      <w:bookmarkEnd w:id="1"/>
      <w:r>
        <w:rPr>
          <w:rFonts w:hint="eastAsia"/>
          <w:color w:val="auto"/>
        </w:rPr>
        <w:t>附件：</w:t>
      </w:r>
    </w:p>
    <w:p w14:paraId="77811E91">
      <w:pPr>
        <w:jc w:val="center"/>
        <w:rPr>
          <w:color w:val="auto"/>
          <w:sz w:val="32"/>
          <w:szCs w:val="32"/>
        </w:rPr>
      </w:pPr>
      <w:r>
        <w:rPr>
          <w:rFonts w:hint="eastAsia"/>
          <w:color w:val="auto"/>
          <w:sz w:val="32"/>
          <w:szCs w:val="32"/>
        </w:rPr>
        <w:t>南京大学后勤管理零代码应用平台采购需求</w:t>
      </w:r>
    </w:p>
    <w:p w14:paraId="1FA8CB1E">
      <w:pPr>
        <w:pStyle w:val="29"/>
        <w:ind w:firstLine="480"/>
        <w:rPr>
          <w:color w:val="auto"/>
        </w:rPr>
      </w:pPr>
    </w:p>
    <w:p w14:paraId="2F7E96FD">
      <w:pPr>
        <w:rPr>
          <w:color w:val="auto"/>
        </w:rPr>
      </w:pPr>
      <w:r>
        <w:rPr>
          <w:rFonts w:hint="eastAsia"/>
          <w:color w:val="auto"/>
        </w:rPr>
        <w:t>一、本次采购拟实现的功能和目标</w:t>
      </w:r>
    </w:p>
    <w:tbl>
      <w:tblPr>
        <w:tblStyle w:val="18"/>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76"/>
        <w:gridCol w:w="6098"/>
      </w:tblGrid>
      <w:tr w14:paraId="16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26733A8F">
            <w:pPr>
              <w:rPr>
                <w:color w:val="auto"/>
              </w:rPr>
            </w:pPr>
            <w:r>
              <w:rPr>
                <w:rFonts w:hint="eastAsia"/>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2D9A40D7">
            <w:pPr>
              <w:jc w:val="center"/>
              <w:rPr>
                <w:color w:val="auto"/>
              </w:rPr>
            </w:pPr>
            <w:r>
              <w:rPr>
                <w:rFonts w:hint="eastAsia"/>
                <w:color w:val="auto"/>
              </w:rPr>
              <w:t>需求功能项目</w:t>
            </w:r>
          </w:p>
        </w:tc>
        <w:tc>
          <w:tcPr>
            <w:tcW w:w="6098" w:type="dxa"/>
            <w:tcBorders>
              <w:top w:val="single" w:color="auto" w:sz="4" w:space="0"/>
              <w:left w:val="single" w:color="auto" w:sz="4" w:space="0"/>
              <w:bottom w:val="single" w:color="auto" w:sz="4" w:space="0"/>
              <w:right w:val="single" w:color="auto" w:sz="4" w:space="0"/>
            </w:tcBorders>
            <w:vAlign w:val="center"/>
          </w:tcPr>
          <w:p w14:paraId="11B63720">
            <w:pPr>
              <w:jc w:val="center"/>
              <w:rPr>
                <w:color w:val="auto"/>
              </w:rPr>
            </w:pPr>
            <w:r>
              <w:rPr>
                <w:rFonts w:hint="eastAsia"/>
                <w:color w:val="auto"/>
              </w:rPr>
              <w:t>要求</w:t>
            </w:r>
          </w:p>
        </w:tc>
      </w:tr>
      <w:tr w14:paraId="0CD3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7F907905">
            <w:pPr>
              <w:rPr>
                <w:color w:val="auto"/>
              </w:rPr>
            </w:pPr>
            <w:r>
              <w:rPr>
                <w:rFonts w:hint="eastAsia"/>
                <w:color w:val="auto"/>
              </w:rPr>
              <w:t>一</w:t>
            </w:r>
          </w:p>
        </w:tc>
        <w:tc>
          <w:tcPr>
            <w:tcW w:w="1276" w:type="dxa"/>
            <w:tcBorders>
              <w:top w:val="single" w:color="auto" w:sz="4" w:space="0"/>
              <w:left w:val="single" w:color="auto" w:sz="4" w:space="0"/>
              <w:bottom w:val="single" w:color="auto" w:sz="4" w:space="0"/>
              <w:right w:val="single" w:color="auto" w:sz="4" w:space="0"/>
            </w:tcBorders>
            <w:vAlign w:val="center"/>
          </w:tcPr>
          <w:p w14:paraId="647FBCBC">
            <w:pPr>
              <w:rPr>
                <w:color w:val="auto"/>
              </w:rPr>
            </w:pPr>
            <w:r>
              <w:rPr>
                <w:rFonts w:hint="eastAsia"/>
                <w:color w:val="auto"/>
              </w:rPr>
              <w:t>数据管理类</w:t>
            </w:r>
          </w:p>
        </w:tc>
        <w:tc>
          <w:tcPr>
            <w:tcW w:w="6098" w:type="dxa"/>
            <w:tcBorders>
              <w:top w:val="single" w:color="auto" w:sz="4" w:space="0"/>
              <w:left w:val="single" w:color="auto" w:sz="4" w:space="0"/>
              <w:bottom w:val="single" w:color="auto" w:sz="4" w:space="0"/>
              <w:right w:val="single" w:color="auto" w:sz="4" w:space="0"/>
            </w:tcBorders>
            <w:vAlign w:val="center"/>
          </w:tcPr>
          <w:p w14:paraId="13786552">
            <w:pPr>
              <w:pStyle w:val="44"/>
              <w:spacing w:line="240" w:lineRule="auto"/>
              <w:rPr>
                <w:rFonts w:ascii="仿宋" w:hAnsi="仿宋" w:eastAsia="仿宋"/>
                <w:color w:val="auto"/>
                <w:szCs w:val="24"/>
              </w:rPr>
            </w:pPr>
            <w:r>
              <w:rPr>
                <w:rFonts w:hint="eastAsia" w:ascii="仿宋" w:hAnsi="仿宋" w:eastAsia="仿宋"/>
                <w:color w:val="auto"/>
                <w:szCs w:val="24"/>
              </w:rPr>
              <w:t>实现各类基础数据的分类、更新、汇总，便于查阅、存档。按权限实现上传、编辑、修改（点对点授权）（下同）。</w:t>
            </w:r>
          </w:p>
        </w:tc>
      </w:tr>
      <w:tr w14:paraId="5054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right w:val="single" w:color="auto" w:sz="4" w:space="0"/>
            </w:tcBorders>
            <w:vAlign w:val="center"/>
          </w:tcPr>
          <w:p w14:paraId="3177C55E">
            <w:pPr>
              <w:rPr>
                <w:color w:val="auto"/>
              </w:rPr>
            </w:pPr>
            <w:r>
              <w:rPr>
                <w:rFonts w:hint="eastAsia"/>
                <w:color w:val="auto"/>
              </w:rPr>
              <w:t>1</w:t>
            </w:r>
          </w:p>
        </w:tc>
        <w:tc>
          <w:tcPr>
            <w:tcW w:w="1276" w:type="dxa"/>
            <w:tcBorders>
              <w:top w:val="single" w:color="auto" w:sz="4" w:space="0"/>
              <w:left w:val="single" w:color="auto" w:sz="4" w:space="0"/>
              <w:right w:val="single" w:color="auto" w:sz="4" w:space="0"/>
            </w:tcBorders>
            <w:vAlign w:val="center"/>
          </w:tcPr>
          <w:p w14:paraId="5ADB6231">
            <w:pPr>
              <w:rPr>
                <w:color w:val="auto"/>
              </w:rPr>
            </w:pPr>
            <w:r>
              <w:rPr>
                <w:rFonts w:hint="eastAsia"/>
                <w:color w:val="auto"/>
              </w:rPr>
              <w:t>数据管理</w:t>
            </w:r>
          </w:p>
        </w:tc>
        <w:tc>
          <w:tcPr>
            <w:tcW w:w="6098" w:type="dxa"/>
            <w:tcBorders>
              <w:top w:val="single" w:color="auto" w:sz="4" w:space="0"/>
              <w:left w:val="single" w:color="auto" w:sz="4" w:space="0"/>
              <w:bottom w:val="single" w:color="auto" w:sz="4" w:space="0"/>
              <w:right w:val="single" w:color="auto" w:sz="4" w:space="0"/>
            </w:tcBorders>
            <w:vAlign w:val="center"/>
          </w:tcPr>
          <w:p w14:paraId="2D52D0BD">
            <w:pPr>
              <w:pStyle w:val="44"/>
              <w:spacing w:line="240" w:lineRule="auto"/>
              <w:rPr>
                <w:rFonts w:ascii="仿宋" w:hAnsi="仿宋" w:eastAsia="仿宋"/>
                <w:color w:val="auto"/>
                <w:szCs w:val="24"/>
              </w:rPr>
            </w:pPr>
            <w:r>
              <w:rPr>
                <w:rFonts w:hint="eastAsia" w:ascii="仿宋" w:hAnsi="仿宋" w:eastAsia="仿宋"/>
                <w:color w:val="auto"/>
                <w:szCs w:val="24"/>
              </w:rPr>
              <w:t>包括基础数据、报表与表格数据的管理：</w:t>
            </w:r>
          </w:p>
          <w:p w14:paraId="5D1E9B74">
            <w:pPr>
              <w:pStyle w:val="44"/>
              <w:spacing w:line="240" w:lineRule="auto"/>
              <w:rPr>
                <w:rFonts w:ascii="仿宋" w:hAnsi="仿宋" w:eastAsia="仿宋"/>
                <w:color w:val="auto"/>
                <w:szCs w:val="24"/>
              </w:rPr>
            </w:pPr>
            <w:r>
              <w:rPr>
                <w:rFonts w:hint="eastAsia" w:ascii="仿宋" w:hAnsi="仿宋" w:eastAsia="仿宋"/>
                <w:color w:val="auto"/>
                <w:szCs w:val="24"/>
              </w:rPr>
              <w:t>各类基础数据分类统计、及时更新、汇总（单项单页、多项多页、跨类）、添加选项、添加附件、搜索查询、预警提醒与汇总、一键生成（单项、多项、选择性）、数据分析、下载、同步多人编辑等。</w:t>
            </w:r>
          </w:p>
          <w:p w14:paraId="7A3EA534">
            <w:pPr>
              <w:pStyle w:val="44"/>
              <w:spacing w:line="240" w:lineRule="auto"/>
              <w:rPr>
                <w:rFonts w:ascii="仿宋" w:hAnsi="仿宋" w:eastAsia="仿宋"/>
                <w:color w:val="auto"/>
                <w:szCs w:val="24"/>
              </w:rPr>
            </w:pPr>
            <w:r>
              <w:rPr>
                <w:rFonts w:hint="eastAsia" w:ascii="仿宋" w:hAnsi="仿宋" w:eastAsia="仿宋"/>
                <w:color w:val="auto"/>
                <w:szCs w:val="24"/>
              </w:rPr>
              <w:t>每月各类动态数据及时或按期上传。如各类培训数据、离校人数、留校人数、楼栋空房间空床位数据、大盘纸消耗量与库存量的动态数据、各部门各岗位人员实时数据等各类常规需要统计的数据，按部门按类别定期或及时上传、更新。</w:t>
            </w:r>
          </w:p>
        </w:tc>
      </w:tr>
      <w:tr w14:paraId="24BC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A14C0AE">
            <w:pPr>
              <w:rPr>
                <w:color w:val="auto"/>
              </w:rPr>
            </w:pPr>
            <w:r>
              <w:rPr>
                <w:rFonts w:hint="eastAsia"/>
                <w:color w:val="auto"/>
              </w:rPr>
              <w:t>二</w:t>
            </w:r>
          </w:p>
        </w:tc>
        <w:tc>
          <w:tcPr>
            <w:tcW w:w="1276" w:type="dxa"/>
            <w:tcBorders>
              <w:top w:val="single" w:color="auto" w:sz="4" w:space="0"/>
              <w:left w:val="single" w:color="auto" w:sz="4" w:space="0"/>
              <w:bottom w:val="single" w:color="auto" w:sz="4" w:space="0"/>
              <w:right w:val="single" w:color="auto" w:sz="4" w:space="0"/>
            </w:tcBorders>
            <w:vAlign w:val="center"/>
          </w:tcPr>
          <w:p w14:paraId="6930B178">
            <w:pPr>
              <w:rPr>
                <w:color w:val="auto"/>
              </w:rPr>
            </w:pPr>
            <w:r>
              <w:rPr>
                <w:rFonts w:hint="eastAsia"/>
                <w:color w:val="auto"/>
              </w:rPr>
              <w:t>现场管理类</w:t>
            </w:r>
          </w:p>
        </w:tc>
        <w:tc>
          <w:tcPr>
            <w:tcW w:w="6098" w:type="dxa"/>
            <w:tcBorders>
              <w:top w:val="single" w:color="auto" w:sz="4" w:space="0"/>
              <w:left w:val="single" w:color="auto" w:sz="4" w:space="0"/>
              <w:bottom w:val="single" w:color="auto" w:sz="4" w:space="0"/>
              <w:right w:val="single" w:color="auto" w:sz="4" w:space="0"/>
            </w:tcBorders>
            <w:vAlign w:val="center"/>
          </w:tcPr>
          <w:p w14:paraId="0C1535C5">
            <w:pPr>
              <w:pStyle w:val="44"/>
              <w:spacing w:line="240" w:lineRule="auto"/>
              <w:rPr>
                <w:rFonts w:ascii="仿宋" w:hAnsi="仿宋" w:eastAsia="仿宋"/>
                <w:color w:val="auto"/>
                <w:szCs w:val="24"/>
              </w:rPr>
            </w:pPr>
            <w:r>
              <w:rPr>
                <w:rFonts w:hint="eastAsia" w:ascii="仿宋" w:hAnsi="仿宋" w:eastAsia="仿宋"/>
                <w:color w:val="auto"/>
                <w:szCs w:val="24"/>
              </w:rPr>
              <w:t>实现现场的数据动态管理、分类管理、预警管理等，可上传、添加、更新、搜索查询、下载等。</w:t>
            </w:r>
          </w:p>
        </w:tc>
      </w:tr>
      <w:tr w14:paraId="7677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6BA040D1">
            <w:pPr>
              <w:rPr>
                <w:color w:val="auto"/>
              </w:rPr>
            </w:pPr>
            <w:r>
              <w:rPr>
                <w:rFonts w:hint="eastAsia"/>
                <w:color w:val="auto"/>
              </w:rPr>
              <w:t>1</w:t>
            </w:r>
          </w:p>
        </w:tc>
        <w:tc>
          <w:tcPr>
            <w:tcW w:w="1276" w:type="dxa"/>
            <w:tcBorders>
              <w:top w:val="single" w:color="auto" w:sz="4" w:space="0"/>
              <w:left w:val="single" w:color="auto" w:sz="4" w:space="0"/>
              <w:bottom w:val="single" w:color="auto" w:sz="4" w:space="0"/>
              <w:right w:val="single" w:color="auto" w:sz="4" w:space="0"/>
            </w:tcBorders>
            <w:vAlign w:val="center"/>
          </w:tcPr>
          <w:p w14:paraId="7DE37414">
            <w:pPr>
              <w:rPr>
                <w:color w:val="auto"/>
              </w:rPr>
            </w:pPr>
            <w:r>
              <w:rPr>
                <w:rFonts w:hint="eastAsia"/>
                <w:color w:val="auto"/>
              </w:rPr>
              <w:t>宿舍管理</w:t>
            </w:r>
          </w:p>
        </w:tc>
        <w:tc>
          <w:tcPr>
            <w:tcW w:w="6098" w:type="dxa"/>
            <w:tcBorders>
              <w:top w:val="single" w:color="auto" w:sz="4" w:space="0"/>
              <w:left w:val="single" w:color="auto" w:sz="4" w:space="0"/>
              <w:bottom w:val="single" w:color="auto" w:sz="4" w:space="0"/>
              <w:right w:val="single" w:color="auto" w:sz="4" w:space="0"/>
            </w:tcBorders>
            <w:vAlign w:val="center"/>
          </w:tcPr>
          <w:p w14:paraId="19E921AC">
            <w:pPr>
              <w:pStyle w:val="44"/>
              <w:spacing w:line="240" w:lineRule="auto"/>
              <w:rPr>
                <w:rFonts w:ascii="仿宋" w:hAnsi="仿宋" w:eastAsia="仿宋"/>
                <w:color w:val="auto"/>
                <w:szCs w:val="24"/>
              </w:rPr>
            </w:pPr>
            <w:r>
              <w:rPr>
                <w:rFonts w:hint="eastAsia" w:ascii="仿宋" w:hAnsi="仿宋" w:eastAsia="仿宋"/>
                <w:color w:val="auto"/>
                <w:szCs w:val="24"/>
              </w:rPr>
              <w:t>1.学生住宿卡电子化，包含学生最新照片，家庭，院系相关信息统计及更新。</w:t>
            </w:r>
          </w:p>
          <w:p w14:paraId="1FBD8772">
            <w:pPr>
              <w:pStyle w:val="44"/>
              <w:spacing w:line="240" w:lineRule="auto"/>
              <w:rPr>
                <w:rFonts w:ascii="仿宋" w:hAnsi="仿宋" w:eastAsia="仿宋"/>
                <w:color w:val="auto"/>
                <w:szCs w:val="24"/>
              </w:rPr>
            </w:pPr>
            <w:r>
              <w:rPr>
                <w:rFonts w:hint="eastAsia" w:ascii="仿宋" w:hAnsi="仿宋" w:eastAsia="仿宋"/>
                <w:color w:val="auto"/>
                <w:szCs w:val="24"/>
              </w:rPr>
              <w:t>2.公寓楼栋的基本数据：面积，楼层，竣工时间，最新入住学生信息，学生性别（男女），学生性质（本硕博），床位信息，院系，辅导员等。动态显示实时学生人数，空床位情况等。</w:t>
            </w:r>
          </w:p>
          <w:p w14:paraId="4501F096">
            <w:pPr>
              <w:pStyle w:val="44"/>
              <w:spacing w:line="240" w:lineRule="auto"/>
              <w:rPr>
                <w:rFonts w:ascii="仿宋" w:hAnsi="仿宋" w:eastAsia="仿宋"/>
                <w:color w:val="auto"/>
                <w:szCs w:val="24"/>
              </w:rPr>
            </w:pPr>
            <w:r>
              <w:rPr>
                <w:rFonts w:hint="eastAsia" w:ascii="仿宋" w:hAnsi="仿宋" w:eastAsia="仿宋"/>
                <w:color w:val="auto"/>
                <w:szCs w:val="24"/>
              </w:rPr>
              <w:t>3.寒暑假离校登记表，在线登记和统计离校信息。</w:t>
            </w:r>
          </w:p>
        </w:tc>
      </w:tr>
      <w:tr w14:paraId="519E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6427AB03">
            <w:pPr>
              <w:rPr>
                <w:color w:val="auto"/>
              </w:rPr>
            </w:pPr>
            <w:r>
              <w:rPr>
                <w:rFonts w:hint="eastAsia"/>
                <w:color w:val="auto"/>
              </w:rPr>
              <w:t>2</w:t>
            </w:r>
          </w:p>
        </w:tc>
        <w:tc>
          <w:tcPr>
            <w:tcW w:w="1276" w:type="dxa"/>
            <w:tcBorders>
              <w:top w:val="single" w:color="auto" w:sz="4" w:space="0"/>
              <w:left w:val="single" w:color="auto" w:sz="4" w:space="0"/>
              <w:bottom w:val="single" w:color="auto" w:sz="4" w:space="0"/>
              <w:right w:val="single" w:color="auto" w:sz="4" w:space="0"/>
            </w:tcBorders>
            <w:vAlign w:val="center"/>
          </w:tcPr>
          <w:p w14:paraId="60D87CB6">
            <w:pPr>
              <w:rPr>
                <w:color w:val="auto"/>
              </w:rPr>
            </w:pPr>
            <w:r>
              <w:rPr>
                <w:rFonts w:hint="eastAsia"/>
                <w:color w:val="auto"/>
              </w:rPr>
              <w:t>场馆管理</w:t>
            </w:r>
          </w:p>
        </w:tc>
        <w:tc>
          <w:tcPr>
            <w:tcW w:w="6098" w:type="dxa"/>
            <w:tcBorders>
              <w:top w:val="single" w:color="auto" w:sz="4" w:space="0"/>
              <w:left w:val="single" w:color="auto" w:sz="4" w:space="0"/>
              <w:bottom w:val="single" w:color="auto" w:sz="4" w:space="0"/>
              <w:right w:val="single" w:color="auto" w:sz="4" w:space="0"/>
            </w:tcBorders>
            <w:vAlign w:val="center"/>
          </w:tcPr>
          <w:p w14:paraId="6C353E29">
            <w:pPr>
              <w:pStyle w:val="44"/>
              <w:spacing w:line="240" w:lineRule="auto"/>
              <w:rPr>
                <w:rFonts w:ascii="仿宋" w:hAnsi="仿宋" w:eastAsia="仿宋"/>
                <w:color w:val="auto"/>
                <w:szCs w:val="24"/>
              </w:rPr>
            </w:pPr>
            <w:r>
              <w:rPr>
                <w:rFonts w:hint="eastAsia" w:ascii="仿宋" w:hAnsi="仿宋" w:eastAsia="仿宋"/>
                <w:color w:val="auto"/>
                <w:szCs w:val="24"/>
              </w:rPr>
              <w:t>场馆校外人员预约平台：实现校外人员预约功能，预约在线审批。</w:t>
            </w:r>
          </w:p>
        </w:tc>
      </w:tr>
      <w:tr w14:paraId="62A4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4EA974BE">
            <w:pPr>
              <w:rPr>
                <w:color w:val="auto"/>
              </w:rPr>
            </w:pPr>
            <w:r>
              <w:rPr>
                <w:rFonts w:hint="eastAsia"/>
                <w:color w:val="auto"/>
              </w:rPr>
              <w:t>3</w:t>
            </w:r>
          </w:p>
        </w:tc>
        <w:tc>
          <w:tcPr>
            <w:tcW w:w="1276" w:type="dxa"/>
            <w:tcBorders>
              <w:top w:val="single" w:color="auto" w:sz="4" w:space="0"/>
              <w:left w:val="single" w:color="auto" w:sz="4" w:space="0"/>
              <w:bottom w:val="single" w:color="auto" w:sz="4" w:space="0"/>
              <w:right w:val="single" w:color="auto" w:sz="4" w:space="0"/>
            </w:tcBorders>
            <w:vAlign w:val="center"/>
          </w:tcPr>
          <w:p w14:paraId="55F08087">
            <w:pPr>
              <w:rPr>
                <w:color w:val="auto"/>
              </w:rPr>
            </w:pPr>
            <w:r>
              <w:rPr>
                <w:rFonts w:hint="eastAsia"/>
                <w:color w:val="auto"/>
              </w:rPr>
              <w:t>安全管理</w:t>
            </w:r>
          </w:p>
        </w:tc>
        <w:tc>
          <w:tcPr>
            <w:tcW w:w="6098" w:type="dxa"/>
            <w:tcBorders>
              <w:top w:val="single" w:color="auto" w:sz="4" w:space="0"/>
              <w:left w:val="single" w:color="auto" w:sz="4" w:space="0"/>
              <w:bottom w:val="single" w:color="auto" w:sz="4" w:space="0"/>
              <w:right w:val="single" w:color="auto" w:sz="4" w:space="0"/>
            </w:tcBorders>
            <w:vAlign w:val="center"/>
          </w:tcPr>
          <w:p w14:paraId="067F9D47">
            <w:pPr>
              <w:pStyle w:val="44"/>
              <w:spacing w:line="240" w:lineRule="auto"/>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w:t>
            </w:r>
            <w:r>
              <w:rPr>
                <w:rFonts w:hint="eastAsia" w:ascii="仿宋" w:hAnsi="仿宋" w:eastAsia="仿宋"/>
                <w:color w:val="auto"/>
                <w:szCs w:val="24"/>
              </w:rPr>
              <w:t>安全类设备管理：按规定频次检查，维护改造与更换，灭火器到期提醒（可与基础数据融合）等实现在线化管理。</w:t>
            </w:r>
          </w:p>
          <w:p w14:paraId="68C16549">
            <w:pPr>
              <w:pStyle w:val="44"/>
              <w:spacing w:line="240" w:lineRule="auto"/>
              <w:rPr>
                <w:rFonts w:ascii="仿宋" w:hAnsi="仿宋" w:eastAsia="仿宋"/>
                <w:color w:val="auto"/>
                <w:szCs w:val="24"/>
              </w:rPr>
            </w:pPr>
            <w:r>
              <w:rPr>
                <w:rFonts w:hint="eastAsia" w:ascii="仿宋" w:hAnsi="仿宋" w:eastAsia="仿宋"/>
                <w:color w:val="auto"/>
                <w:szCs w:val="24"/>
              </w:rPr>
              <w:t>2</w:t>
            </w:r>
            <w:r>
              <w:rPr>
                <w:rFonts w:ascii="仿宋" w:hAnsi="仿宋" w:eastAsia="仿宋"/>
                <w:color w:val="auto"/>
                <w:szCs w:val="24"/>
              </w:rPr>
              <w:t>.</w:t>
            </w:r>
            <w:r>
              <w:rPr>
                <w:rFonts w:hint="eastAsia" w:ascii="仿宋" w:hAnsi="仿宋" w:eastAsia="仿宋"/>
                <w:color w:val="auto"/>
                <w:szCs w:val="24"/>
              </w:rPr>
              <w:t>安全巡查：按规定频次巡查，需要与巡更棒数据对接。楼宇周围车辆整理。</w:t>
            </w:r>
          </w:p>
          <w:p w14:paraId="5E57A012">
            <w:pPr>
              <w:pStyle w:val="44"/>
              <w:spacing w:line="240" w:lineRule="auto"/>
              <w:rPr>
                <w:rFonts w:ascii="仿宋" w:hAnsi="仿宋" w:eastAsia="仿宋"/>
                <w:color w:val="auto"/>
                <w:szCs w:val="24"/>
              </w:rPr>
            </w:pPr>
            <w:r>
              <w:rPr>
                <w:rFonts w:hint="eastAsia" w:ascii="仿宋" w:hAnsi="仿宋" w:eastAsia="仿宋"/>
                <w:color w:val="auto"/>
                <w:szCs w:val="24"/>
              </w:rPr>
              <w:t>3</w:t>
            </w:r>
            <w:r>
              <w:rPr>
                <w:rFonts w:ascii="仿宋" w:hAnsi="仿宋" w:eastAsia="仿宋"/>
                <w:color w:val="auto"/>
                <w:szCs w:val="24"/>
              </w:rPr>
              <w:t>.</w:t>
            </w:r>
            <w:r>
              <w:rPr>
                <w:rFonts w:hint="eastAsia" w:ascii="仿宋" w:hAnsi="仿宋" w:eastAsia="仿宋"/>
                <w:color w:val="auto"/>
                <w:szCs w:val="24"/>
              </w:rPr>
              <w:t xml:space="preserve">人员数字化排班：依据需求合理安排人员工作时间。精确记录出勤情况。 </w:t>
            </w:r>
          </w:p>
        </w:tc>
      </w:tr>
      <w:tr w14:paraId="3B34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67020288">
            <w:pPr>
              <w:rPr>
                <w:color w:val="auto"/>
              </w:rPr>
            </w:pPr>
            <w:r>
              <w:rPr>
                <w:rFonts w:hint="eastAsia"/>
                <w:color w:val="auto"/>
              </w:rPr>
              <w:t>4</w:t>
            </w:r>
          </w:p>
        </w:tc>
        <w:tc>
          <w:tcPr>
            <w:tcW w:w="1276" w:type="dxa"/>
            <w:tcBorders>
              <w:top w:val="single" w:color="auto" w:sz="4" w:space="0"/>
              <w:left w:val="single" w:color="auto" w:sz="4" w:space="0"/>
              <w:bottom w:val="single" w:color="auto" w:sz="4" w:space="0"/>
              <w:right w:val="single" w:color="auto" w:sz="4" w:space="0"/>
            </w:tcBorders>
            <w:vAlign w:val="center"/>
          </w:tcPr>
          <w:p w14:paraId="532807C0">
            <w:pPr>
              <w:rPr>
                <w:color w:val="auto"/>
              </w:rPr>
            </w:pPr>
            <w:r>
              <w:rPr>
                <w:rFonts w:hint="eastAsia"/>
                <w:color w:val="auto"/>
              </w:rPr>
              <w:t>设施管理</w:t>
            </w:r>
          </w:p>
        </w:tc>
        <w:tc>
          <w:tcPr>
            <w:tcW w:w="6098" w:type="dxa"/>
            <w:tcBorders>
              <w:top w:val="single" w:color="auto" w:sz="4" w:space="0"/>
              <w:left w:val="single" w:color="auto" w:sz="4" w:space="0"/>
              <w:bottom w:val="single" w:color="auto" w:sz="4" w:space="0"/>
              <w:right w:val="single" w:color="auto" w:sz="4" w:space="0"/>
            </w:tcBorders>
            <w:vAlign w:val="center"/>
          </w:tcPr>
          <w:p w14:paraId="41BE439E">
            <w:pPr>
              <w:pStyle w:val="44"/>
              <w:spacing w:line="240" w:lineRule="auto"/>
              <w:rPr>
                <w:rFonts w:ascii="仿宋" w:hAnsi="仿宋" w:eastAsia="仿宋"/>
                <w:color w:val="auto"/>
                <w:szCs w:val="24"/>
              </w:rPr>
            </w:pPr>
            <w:r>
              <w:rPr>
                <w:rFonts w:hint="eastAsia" w:ascii="仿宋" w:hAnsi="仿宋" w:eastAsia="仿宋"/>
                <w:color w:val="auto"/>
                <w:szCs w:val="24"/>
              </w:rPr>
              <w:t>设备巡检与维保单位维保：设施设备（除安全设施外）日常管理、巡视及维护管理方面实现在线化管理。比如电梯维保、健身器材维保等。</w:t>
            </w:r>
          </w:p>
        </w:tc>
      </w:tr>
      <w:tr w14:paraId="20C3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731C9FE9">
            <w:pPr>
              <w:rPr>
                <w:color w:val="auto"/>
              </w:rPr>
            </w:pPr>
            <w:r>
              <w:rPr>
                <w:rFonts w:hint="eastAsia"/>
                <w:color w:val="auto"/>
              </w:rPr>
              <w:t>5</w:t>
            </w:r>
          </w:p>
        </w:tc>
        <w:tc>
          <w:tcPr>
            <w:tcW w:w="1276" w:type="dxa"/>
            <w:tcBorders>
              <w:top w:val="single" w:color="auto" w:sz="4" w:space="0"/>
              <w:left w:val="single" w:color="auto" w:sz="4" w:space="0"/>
              <w:bottom w:val="single" w:color="auto" w:sz="4" w:space="0"/>
              <w:right w:val="single" w:color="auto" w:sz="4" w:space="0"/>
            </w:tcBorders>
            <w:vAlign w:val="center"/>
          </w:tcPr>
          <w:p w14:paraId="2C2FAC46">
            <w:pPr>
              <w:rPr>
                <w:color w:val="auto"/>
              </w:rPr>
            </w:pPr>
            <w:r>
              <w:rPr>
                <w:rFonts w:hint="eastAsia"/>
                <w:color w:val="auto"/>
              </w:rPr>
              <w:t>环境管理</w:t>
            </w:r>
          </w:p>
        </w:tc>
        <w:tc>
          <w:tcPr>
            <w:tcW w:w="6098" w:type="dxa"/>
            <w:tcBorders>
              <w:top w:val="single" w:color="auto" w:sz="4" w:space="0"/>
              <w:left w:val="single" w:color="auto" w:sz="4" w:space="0"/>
              <w:bottom w:val="single" w:color="auto" w:sz="4" w:space="0"/>
              <w:right w:val="single" w:color="auto" w:sz="4" w:space="0"/>
            </w:tcBorders>
            <w:vAlign w:val="center"/>
          </w:tcPr>
          <w:p w14:paraId="3BF0D25F">
            <w:pPr>
              <w:pStyle w:val="44"/>
              <w:spacing w:line="240" w:lineRule="auto"/>
              <w:rPr>
                <w:rFonts w:ascii="仿宋" w:hAnsi="仿宋" w:eastAsia="仿宋"/>
                <w:color w:val="auto"/>
                <w:szCs w:val="24"/>
              </w:rPr>
            </w:pPr>
            <w:r>
              <w:rPr>
                <w:rFonts w:hint="eastAsia" w:ascii="仿宋" w:hAnsi="仿宋" w:eastAsia="仿宋"/>
                <w:color w:val="auto"/>
                <w:szCs w:val="24"/>
              </w:rPr>
              <w:t>环境监测：卫生清洁情况线上化巡检，根据安全风险问题总结分析相应原因，形成整改措施。按频次及时上传如卫生间、楼顶、地下室、楼宇外围、出入口、垃圾存放点等部位打扫或巡查的状况。</w:t>
            </w:r>
          </w:p>
        </w:tc>
      </w:tr>
      <w:tr w14:paraId="6F91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12685E">
            <w:pPr>
              <w:rPr>
                <w:color w:val="auto"/>
              </w:rPr>
            </w:pPr>
            <w:r>
              <w:rPr>
                <w:rFonts w:hint="eastAsia"/>
                <w:color w:val="auto"/>
              </w:rPr>
              <w:t>三</w:t>
            </w:r>
          </w:p>
        </w:tc>
        <w:tc>
          <w:tcPr>
            <w:tcW w:w="1276" w:type="dxa"/>
            <w:tcBorders>
              <w:top w:val="single" w:color="auto" w:sz="4" w:space="0"/>
              <w:left w:val="single" w:color="auto" w:sz="4" w:space="0"/>
              <w:bottom w:val="single" w:color="auto" w:sz="4" w:space="0"/>
              <w:right w:val="single" w:color="auto" w:sz="4" w:space="0"/>
            </w:tcBorders>
            <w:vAlign w:val="center"/>
          </w:tcPr>
          <w:p w14:paraId="5D3A8183">
            <w:pPr>
              <w:rPr>
                <w:color w:val="auto"/>
              </w:rPr>
            </w:pPr>
            <w:r>
              <w:rPr>
                <w:rFonts w:hint="eastAsia"/>
                <w:color w:val="auto"/>
              </w:rPr>
              <w:t>流程管理类</w:t>
            </w:r>
          </w:p>
        </w:tc>
        <w:tc>
          <w:tcPr>
            <w:tcW w:w="6098" w:type="dxa"/>
            <w:tcBorders>
              <w:top w:val="single" w:color="auto" w:sz="4" w:space="0"/>
              <w:left w:val="single" w:color="auto" w:sz="4" w:space="0"/>
              <w:bottom w:val="single" w:color="auto" w:sz="4" w:space="0"/>
              <w:right w:val="single" w:color="auto" w:sz="4" w:space="0"/>
            </w:tcBorders>
            <w:vAlign w:val="center"/>
          </w:tcPr>
          <w:p w14:paraId="2887749B">
            <w:pPr>
              <w:pStyle w:val="44"/>
              <w:spacing w:line="240" w:lineRule="auto"/>
              <w:rPr>
                <w:rFonts w:ascii="仿宋" w:hAnsi="仿宋" w:eastAsia="仿宋"/>
                <w:color w:val="auto"/>
                <w:szCs w:val="24"/>
              </w:rPr>
            </w:pPr>
            <w:r>
              <w:rPr>
                <w:rFonts w:hint="eastAsia" w:ascii="仿宋" w:hAnsi="仿宋" w:eastAsia="仿宋"/>
                <w:color w:val="auto"/>
                <w:szCs w:val="24"/>
              </w:rPr>
              <w:t>实现各流程全过程的管控、提醒、预警、一键生成、下载、编辑、存档等。</w:t>
            </w:r>
          </w:p>
        </w:tc>
      </w:tr>
      <w:tr w14:paraId="1C0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2DEAE098">
            <w:pPr>
              <w:rPr>
                <w:color w:val="auto"/>
              </w:rPr>
            </w:pPr>
            <w:r>
              <w:rPr>
                <w:rFonts w:hint="eastAsia"/>
                <w:color w:val="auto"/>
              </w:rPr>
              <w:t>1</w:t>
            </w:r>
          </w:p>
        </w:tc>
        <w:tc>
          <w:tcPr>
            <w:tcW w:w="1276" w:type="dxa"/>
            <w:tcBorders>
              <w:top w:val="single" w:color="auto" w:sz="4" w:space="0"/>
              <w:left w:val="single" w:color="auto" w:sz="4" w:space="0"/>
              <w:bottom w:val="single" w:color="auto" w:sz="4" w:space="0"/>
              <w:right w:val="single" w:color="auto" w:sz="4" w:space="0"/>
            </w:tcBorders>
            <w:vAlign w:val="center"/>
          </w:tcPr>
          <w:p w14:paraId="26B6FA2B">
            <w:pPr>
              <w:rPr>
                <w:color w:val="auto"/>
              </w:rPr>
            </w:pPr>
            <w:r>
              <w:rPr>
                <w:rFonts w:hint="eastAsia"/>
                <w:color w:val="auto"/>
              </w:rPr>
              <w:t>招采管理</w:t>
            </w:r>
          </w:p>
        </w:tc>
        <w:tc>
          <w:tcPr>
            <w:tcW w:w="6098" w:type="dxa"/>
            <w:tcBorders>
              <w:top w:val="single" w:color="auto" w:sz="4" w:space="0"/>
              <w:left w:val="single" w:color="auto" w:sz="4" w:space="0"/>
              <w:bottom w:val="single" w:color="auto" w:sz="4" w:space="0"/>
              <w:right w:val="single" w:color="auto" w:sz="4" w:space="0"/>
            </w:tcBorders>
            <w:vAlign w:val="center"/>
          </w:tcPr>
          <w:p w14:paraId="54A7FA05">
            <w:pPr>
              <w:pStyle w:val="44"/>
              <w:spacing w:line="240" w:lineRule="auto"/>
              <w:rPr>
                <w:rFonts w:ascii="仿宋" w:hAnsi="仿宋" w:eastAsia="仿宋"/>
                <w:color w:val="auto"/>
                <w:szCs w:val="24"/>
              </w:rPr>
            </w:pPr>
            <w:r>
              <w:rPr>
                <w:rFonts w:hint="eastAsia" w:ascii="仿宋" w:hAnsi="仿宋" w:eastAsia="仿宋"/>
                <w:color w:val="auto"/>
                <w:szCs w:val="24"/>
              </w:rPr>
              <w:t>1.流程管控。实现招标采购全流程的控制，按不同金额设置不同的流程。上一流程未通过不得进入下一流程，上一流程通过后自动进入下一流程。</w:t>
            </w:r>
          </w:p>
          <w:p w14:paraId="4B2F66B6">
            <w:pPr>
              <w:pStyle w:val="44"/>
              <w:spacing w:line="240" w:lineRule="auto"/>
              <w:rPr>
                <w:rFonts w:ascii="仿宋" w:hAnsi="仿宋" w:eastAsia="仿宋"/>
                <w:color w:val="auto"/>
                <w:szCs w:val="24"/>
              </w:rPr>
            </w:pPr>
            <w:r>
              <w:rPr>
                <w:rFonts w:hint="eastAsia" w:ascii="仿宋" w:hAnsi="仿宋" w:eastAsia="仿宋"/>
                <w:color w:val="auto"/>
                <w:szCs w:val="24"/>
              </w:rPr>
              <w:t>2.形成清单。按不同金额或选择性功能自动生成年度、月度招采工作清单。</w:t>
            </w:r>
          </w:p>
          <w:p w14:paraId="7484263C">
            <w:pPr>
              <w:pStyle w:val="44"/>
              <w:spacing w:line="240" w:lineRule="auto"/>
              <w:rPr>
                <w:rFonts w:ascii="仿宋" w:hAnsi="仿宋" w:eastAsia="仿宋"/>
                <w:color w:val="auto"/>
                <w:szCs w:val="24"/>
              </w:rPr>
            </w:pPr>
            <w:r>
              <w:rPr>
                <w:rFonts w:hint="eastAsia" w:ascii="仿宋" w:hAnsi="仿宋" w:eastAsia="仿宋"/>
                <w:color w:val="auto"/>
                <w:szCs w:val="24"/>
              </w:rPr>
              <w:t>3.预警提醒。1）对续签合同的情形按类别设置提前提醒。2）对待启动的招采工作进行立项。3）以不同颜色设置不同情形的预警。已立项待启动的项目显示黄色，已启动但未完成的项目显示橙色，全流程结束显示绿色，归档完成显示黑色。各流程之间的颜色自动切换。</w:t>
            </w:r>
          </w:p>
          <w:p w14:paraId="0CBBCF00">
            <w:pPr>
              <w:pStyle w:val="44"/>
              <w:spacing w:line="240" w:lineRule="auto"/>
              <w:rPr>
                <w:rFonts w:ascii="仿宋" w:hAnsi="仿宋" w:eastAsia="仿宋"/>
                <w:color w:val="auto"/>
                <w:szCs w:val="24"/>
              </w:rPr>
            </w:pPr>
            <w:r>
              <w:rPr>
                <w:rFonts w:hint="eastAsia" w:ascii="仿宋" w:hAnsi="仿宋" w:eastAsia="仿宋"/>
                <w:color w:val="auto"/>
                <w:szCs w:val="24"/>
              </w:rPr>
              <w:t>4.自动归档。全流程完成后，可一键生成文档，便于归档。</w:t>
            </w:r>
          </w:p>
        </w:tc>
      </w:tr>
      <w:tr w14:paraId="0FA3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69E7245E">
            <w:pPr>
              <w:rPr>
                <w:color w:val="auto"/>
              </w:rPr>
            </w:pPr>
            <w:r>
              <w:rPr>
                <w:rFonts w:hint="eastAsia"/>
                <w:color w:val="auto"/>
              </w:rPr>
              <w:t>2</w:t>
            </w:r>
          </w:p>
        </w:tc>
        <w:tc>
          <w:tcPr>
            <w:tcW w:w="1276" w:type="dxa"/>
            <w:tcBorders>
              <w:top w:val="single" w:color="auto" w:sz="4" w:space="0"/>
              <w:left w:val="single" w:color="auto" w:sz="4" w:space="0"/>
              <w:bottom w:val="single" w:color="auto" w:sz="4" w:space="0"/>
              <w:right w:val="single" w:color="auto" w:sz="4" w:space="0"/>
            </w:tcBorders>
            <w:vAlign w:val="center"/>
          </w:tcPr>
          <w:p w14:paraId="636B299A">
            <w:pPr>
              <w:rPr>
                <w:color w:val="auto"/>
              </w:rPr>
            </w:pPr>
            <w:r>
              <w:rPr>
                <w:rFonts w:hint="eastAsia"/>
                <w:color w:val="auto"/>
              </w:rPr>
              <w:t>物资管理</w:t>
            </w:r>
          </w:p>
        </w:tc>
        <w:tc>
          <w:tcPr>
            <w:tcW w:w="6098" w:type="dxa"/>
            <w:tcBorders>
              <w:top w:val="single" w:color="auto" w:sz="4" w:space="0"/>
              <w:left w:val="single" w:color="auto" w:sz="4" w:space="0"/>
              <w:bottom w:val="single" w:color="auto" w:sz="4" w:space="0"/>
              <w:right w:val="single" w:color="auto" w:sz="4" w:space="0"/>
            </w:tcBorders>
            <w:vAlign w:val="center"/>
          </w:tcPr>
          <w:p w14:paraId="2127D1AA">
            <w:pPr>
              <w:pStyle w:val="44"/>
              <w:spacing w:line="240" w:lineRule="auto"/>
              <w:rPr>
                <w:rFonts w:ascii="仿宋" w:hAnsi="仿宋" w:eastAsia="仿宋"/>
                <w:color w:val="auto"/>
                <w:szCs w:val="24"/>
              </w:rPr>
            </w:pPr>
            <w:r>
              <w:rPr>
                <w:rFonts w:hint="eastAsia" w:ascii="仿宋" w:hAnsi="仿宋" w:eastAsia="仿宋"/>
                <w:color w:val="auto"/>
                <w:szCs w:val="24"/>
              </w:rPr>
              <w:t>实时掌握物资存储与使用情况，形成采购需求申报，评估确定、库存管理、申领管理等模块。建立部门和领用人个人的年度、月度申购领用数据。</w:t>
            </w:r>
          </w:p>
        </w:tc>
      </w:tr>
      <w:tr w14:paraId="5DA8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7F8E3D54">
            <w:pPr>
              <w:rPr>
                <w:color w:val="auto"/>
              </w:rPr>
            </w:pPr>
            <w:r>
              <w:rPr>
                <w:rFonts w:hint="eastAsia"/>
                <w:color w:val="auto"/>
              </w:rPr>
              <w:t>3</w:t>
            </w:r>
          </w:p>
        </w:tc>
        <w:tc>
          <w:tcPr>
            <w:tcW w:w="1276" w:type="dxa"/>
            <w:tcBorders>
              <w:top w:val="single" w:color="auto" w:sz="4" w:space="0"/>
              <w:left w:val="single" w:color="auto" w:sz="4" w:space="0"/>
              <w:bottom w:val="single" w:color="auto" w:sz="4" w:space="0"/>
              <w:right w:val="single" w:color="auto" w:sz="4" w:space="0"/>
            </w:tcBorders>
            <w:vAlign w:val="center"/>
          </w:tcPr>
          <w:p w14:paraId="0ED3AE7D">
            <w:pPr>
              <w:rPr>
                <w:color w:val="auto"/>
              </w:rPr>
            </w:pPr>
            <w:r>
              <w:rPr>
                <w:rFonts w:hint="eastAsia"/>
                <w:color w:val="auto"/>
              </w:rPr>
              <w:t>合同管理</w:t>
            </w:r>
          </w:p>
        </w:tc>
        <w:tc>
          <w:tcPr>
            <w:tcW w:w="6098" w:type="dxa"/>
            <w:tcBorders>
              <w:top w:val="single" w:color="auto" w:sz="4" w:space="0"/>
              <w:left w:val="single" w:color="auto" w:sz="4" w:space="0"/>
              <w:bottom w:val="single" w:color="auto" w:sz="4" w:space="0"/>
              <w:right w:val="single" w:color="auto" w:sz="4" w:space="0"/>
            </w:tcBorders>
            <w:vAlign w:val="center"/>
          </w:tcPr>
          <w:p w14:paraId="69D9A555">
            <w:pPr>
              <w:pStyle w:val="44"/>
              <w:spacing w:line="240" w:lineRule="auto"/>
              <w:rPr>
                <w:rFonts w:ascii="仿宋" w:hAnsi="仿宋" w:eastAsia="仿宋"/>
                <w:color w:val="auto"/>
                <w:szCs w:val="24"/>
              </w:rPr>
            </w:pPr>
            <w:r>
              <w:rPr>
                <w:rFonts w:hint="eastAsia" w:ascii="仿宋" w:hAnsi="仿宋" w:eastAsia="仿宋"/>
                <w:color w:val="auto"/>
                <w:szCs w:val="24"/>
              </w:rPr>
              <w:t>流程管控、预警功能、形成年度清单、下载与生成文档。</w:t>
            </w:r>
          </w:p>
        </w:tc>
      </w:tr>
      <w:tr w14:paraId="189F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2A761573">
            <w:pPr>
              <w:rPr>
                <w:color w:val="auto"/>
              </w:rPr>
            </w:pPr>
            <w:r>
              <w:rPr>
                <w:rFonts w:hint="eastAsia"/>
                <w:color w:val="auto"/>
              </w:rPr>
              <w:t>4</w:t>
            </w:r>
          </w:p>
        </w:tc>
        <w:tc>
          <w:tcPr>
            <w:tcW w:w="1276" w:type="dxa"/>
            <w:tcBorders>
              <w:top w:val="single" w:color="auto" w:sz="4" w:space="0"/>
              <w:left w:val="single" w:color="auto" w:sz="4" w:space="0"/>
              <w:bottom w:val="single" w:color="auto" w:sz="4" w:space="0"/>
              <w:right w:val="single" w:color="auto" w:sz="4" w:space="0"/>
            </w:tcBorders>
            <w:vAlign w:val="center"/>
          </w:tcPr>
          <w:p w14:paraId="0F21AD41">
            <w:pPr>
              <w:rPr>
                <w:color w:val="auto"/>
              </w:rPr>
            </w:pPr>
            <w:r>
              <w:rPr>
                <w:rFonts w:hint="eastAsia"/>
                <w:color w:val="auto"/>
              </w:rPr>
              <w:t>人事管理</w:t>
            </w:r>
          </w:p>
        </w:tc>
        <w:tc>
          <w:tcPr>
            <w:tcW w:w="6098" w:type="dxa"/>
            <w:tcBorders>
              <w:top w:val="single" w:color="auto" w:sz="4" w:space="0"/>
              <w:left w:val="single" w:color="auto" w:sz="4" w:space="0"/>
              <w:bottom w:val="single" w:color="auto" w:sz="4" w:space="0"/>
              <w:right w:val="single" w:color="auto" w:sz="4" w:space="0"/>
            </w:tcBorders>
            <w:vAlign w:val="center"/>
          </w:tcPr>
          <w:p w14:paraId="1A004D3D">
            <w:pPr>
              <w:pStyle w:val="44"/>
              <w:spacing w:line="240" w:lineRule="auto"/>
              <w:rPr>
                <w:rFonts w:ascii="仿宋" w:hAnsi="仿宋" w:eastAsia="仿宋"/>
                <w:color w:val="auto"/>
                <w:szCs w:val="24"/>
              </w:rPr>
            </w:pPr>
            <w:r>
              <w:rPr>
                <w:rFonts w:hint="eastAsia" w:ascii="仿宋" w:hAnsi="仿宋" w:eastAsia="仿宋"/>
                <w:color w:val="auto"/>
                <w:szCs w:val="24"/>
              </w:rPr>
              <w:t>合同续签预警、退休预警、校园卡账号（网络、进出校园权限等）预警，人员分布与实时数据，个人或部门奖励等等</w:t>
            </w:r>
          </w:p>
        </w:tc>
      </w:tr>
      <w:tr w14:paraId="3972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48781357">
            <w:pPr>
              <w:rPr>
                <w:color w:val="auto"/>
              </w:rPr>
            </w:pPr>
            <w:r>
              <w:rPr>
                <w:rFonts w:hint="eastAsia"/>
                <w:color w:val="auto"/>
              </w:rPr>
              <w:t>5</w:t>
            </w:r>
          </w:p>
        </w:tc>
        <w:tc>
          <w:tcPr>
            <w:tcW w:w="1276" w:type="dxa"/>
            <w:tcBorders>
              <w:top w:val="single" w:color="auto" w:sz="4" w:space="0"/>
              <w:left w:val="single" w:color="auto" w:sz="4" w:space="0"/>
              <w:bottom w:val="single" w:color="auto" w:sz="4" w:space="0"/>
              <w:right w:val="single" w:color="auto" w:sz="4" w:space="0"/>
            </w:tcBorders>
            <w:vAlign w:val="center"/>
          </w:tcPr>
          <w:p w14:paraId="418ACE91">
            <w:pPr>
              <w:rPr>
                <w:color w:val="auto"/>
              </w:rPr>
            </w:pPr>
            <w:r>
              <w:rPr>
                <w:rFonts w:hint="eastAsia"/>
                <w:color w:val="auto"/>
              </w:rPr>
              <w:t>资产管理</w:t>
            </w:r>
          </w:p>
        </w:tc>
        <w:tc>
          <w:tcPr>
            <w:tcW w:w="6098" w:type="dxa"/>
            <w:tcBorders>
              <w:top w:val="single" w:color="auto" w:sz="4" w:space="0"/>
              <w:left w:val="single" w:color="auto" w:sz="4" w:space="0"/>
              <w:bottom w:val="single" w:color="auto" w:sz="4" w:space="0"/>
              <w:right w:val="single" w:color="auto" w:sz="4" w:space="0"/>
            </w:tcBorders>
            <w:vAlign w:val="center"/>
          </w:tcPr>
          <w:p w14:paraId="052361FA">
            <w:pPr>
              <w:pStyle w:val="44"/>
              <w:spacing w:line="240" w:lineRule="auto"/>
              <w:rPr>
                <w:rFonts w:ascii="仿宋" w:hAnsi="仿宋" w:eastAsia="仿宋"/>
                <w:color w:val="auto"/>
                <w:szCs w:val="24"/>
              </w:rPr>
            </w:pPr>
            <w:r>
              <w:rPr>
                <w:rFonts w:hint="eastAsia" w:ascii="仿宋" w:hAnsi="仿宋" w:eastAsia="仿宋"/>
                <w:color w:val="auto"/>
                <w:szCs w:val="24"/>
              </w:rPr>
              <w:t>按类别生成清单、调拨、报废等</w:t>
            </w:r>
          </w:p>
        </w:tc>
      </w:tr>
      <w:tr w14:paraId="4D9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75677AFA">
            <w:pPr>
              <w:rPr>
                <w:color w:val="auto"/>
              </w:rPr>
            </w:pPr>
            <w:r>
              <w:rPr>
                <w:rFonts w:hint="eastAsia"/>
                <w:color w:val="auto"/>
              </w:rPr>
              <w:t>6</w:t>
            </w:r>
          </w:p>
        </w:tc>
        <w:tc>
          <w:tcPr>
            <w:tcW w:w="1276" w:type="dxa"/>
            <w:tcBorders>
              <w:top w:val="single" w:color="auto" w:sz="4" w:space="0"/>
              <w:left w:val="single" w:color="auto" w:sz="4" w:space="0"/>
              <w:bottom w:val="single" w:color="auto" w:sz="4" w:space="0"/>
              <w:right w:val="single" w:color="auto" w:sz="4" w:space="0"/>
            </w:tcBorders>
            <w:vAlign w:val="center"/>
          </w:tcPr>
          <w:p w14:paraId="1DE5B911">
            <w:pPr>
              <w:rPr>
                <w:color w:val="auto"/>
              </w:rPr>
            </w:pPr>
            <w:r>
              <w:rPr>
                <w:rFonts w:hint="eastAsia"/>
                <w:color w:val="auto"/>
              </w:rPr>
              <w:t>宣传稿件</w:t>
            </w:r>
          </w:p>
        </w:tc>
        <w:tc>
          <w:tcPr>
            <w:tcW w:w="6098" w:type="dxa"/>
            <w:tcBorders>
              <w:top w:val="single" w:color="auto" w:sz="4" w:space="0"/>
              <w:left w:val="single" w:color="auto" w:sz="4" w:space="0"/>
              <w:bottom w:val="single" w:color="auto" w:sz="4" w:space="0"/>
              <w:right w:val="single" w:color="auto" w:sz="4" w:space="0"/>
            </w:tcBorders>
            <w:vAlign w:val="center"/>
          </w:tcPr>
          <w:p w14:paraId="10F9788D">
            <w:pPr>
              <w:pStyle w:val="44"/>
              <w:spacing w:line="240" w:lineRule="auto"/>
              <w:rPr>
                <w:rFonts w:ascii="仿宋" w:hAnsi="仿宋" w:eastAsia="仿宋"/>
                <w:color w:val="auto"/>
                <w:szCs w:val="24"/>
              </w:rPr>
            </w:pPr>
            <w:r>
              <w:rPr>
                <w:rFonts w:hint="eastAsia" w:ascii="仿宋" w:hAnsi="仿宋" w:eastAsia="仿宋"/>
                <w:color w:val="auto"/>
                <w:szCs w:val="24"/>
              </w:rPr>
              <w:t>线上审核、年度统计与分析、形成年度清单、下载与生成文档。</w:t>
            </w:r>
          </w:p>
        </w:tc>
      </w:tr>
    </w:tbl>
    <w:p w14:paraId="06B6F150">
      <w:pPr>
        <w:rPr>
          <w:color w:val="auto"/>
        </w:rPr>
      </w:pPr>
    </w:p>
    <w:p w14:paraId="33544568">
      <w:pPr>
        <w:rPr>
          <w:color w:val="auto"/>
        </w:rPr>
      </w:pPr>
      <w:r>
        <w:rPr>
          <w:rFonts w:hint="eastAsia"/>
          <w:color w:val="auto"/>
        </w:rPr>
        <w:t>二、产品需满足的功能和质量要求，包括性能、材料、结构、外观、安全或服务内容和标准等</w:t>
      </w:r>
    </w:p>
    <w:tbl>
      <w:tblPr>
        <w:tblStyle w:val="18"/>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615"/>
        <w:gridCol w:w="5307"/>
      </w:tblGrid>
      <w:tr w14:paraId="0B15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42F77B3A">
            <w:pPr>
              <w:rPr>
                <w:color w:val="auto"/>
              </w:rPr>
            </w:pPr>
            <w:r>
              <w:rPr>
                <w:rFonts w:hint="eastAsia"/>
                <w:color w:val="auto"/>
              </w:rPr>
              <w:t>序号</w:t>
            </w:r>
          </w:p>
        </w:tc>
        <w:tc>
          <w:tcPr>
            <w:tcW w:w="1572" w:type="dxa"/>
            <w:tcBorders>
              <w:top w:val="single" w:color="auto" w:sz="4" w:space="0"/>
              <w:left w:val="single" w:color="auto" w:sz="4" w:space="0"/>
              <w:bottom w:val="single" w:color="auto" w:sz="4" w:space="0"/>
              <w:right w:val="single" w:color="auto" w:sz="4" w:space="0"/>
            </w:tcBorders>
            <w:vAlign w:val="center"/>
          </w:tcPr>
          <w:p w14:paraId="2B3F2EBF">
            <w:pPr>
              <w:rPr>
                <w:color w:val="auto"/>
              </w:rPr>
            </w:pPr>
            <w:r>
              <w:rPr>
                <w:rFonts w:hint="eastAsia"/>
                <w:color w:val="auto"/>
              </w:rPr>
              <w:t>功能</w:t>
            </w:r>
          </w:p>
        </w:tc>
        <w:tc>
          <w:tcPr>
            <w:tcW w:w="5166" w:type="dxa"/>
            <w:tcBorders>
              <w:top w:val="single" w:color="auto" w:sz="4" w:space="0"/>
              <w:left w:val="single" w:color="auto" w:sz="4" w:space="0"/>
              <w:bottom w:val="single" w:color="auto" w:sz="4" w:space="0"/>
              <w:right w:val="single" w:color="auto" w:sz="4" w:space="0"/>
            </w:tcBorders>
            <w:vAlign w:val="center"/>
          </w:tcPr>
          <w:p w14:paraId="31F12496">
            <w:pPr>
              <w:rPr>
                <w:color w:val="auto"/>
              </w:rPr>
            </w:pPr>
            <w:r>
              <w:rPr>
                <w:rFonts w:hint="eastAsia"/>
                <w:color w:val="auto"/>
              </w:rPr>
              <w:t>要求</w:t>
            </w:r>
          </w:p>
        </w:tc>
      </w:tr>
      <w:tr w14:paraId="396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4F47B6F0">
            <w:pPr>
              <w:rPr>
                <w:color w:val="auto"/>
              </w:rPr>
            </w:pPr>
            <w:r>
              <w:rPr>
                <w:rFonts w:hint="eastAsia"/>
                <w:color w:val="auto"/>
              </w:rPr>
              <w:t>1</w:t>
            </w:r>
          </w:p>
        </w:tc>
        <w:tc>
          <w:tcPr>
            <w:tcW w:w="1572" w:type="dxa"/>
            <w:tcBorders>
              <w:top w:val="single" w:color="auto" w:sz="4" w:space="0"/>
              <w:left w:val="single" w:color="auto" w:sz="4" w:space="0"/>
              <w:bottom w:val="single" w:color="auto" w:sz="4" w:space="0"/>
              <w:right w:val="single" w:color="auto" w:sz="4" w:space="0"/>
            </w:tcBorders>
            <w:vAlign w:val="center"/>
          </w:tcPr>
          <w:p w14:paraId="0D41FAF2">
            <w:pPr>
              <w:rPr>
                <w:color w:val="auto"/>
              </w:rPr>
            </w:pPr>
            <w:r>
              <w:rPr>
                <w:rFonts w:hint="eastAsia"/>
                <w:color w:val="auto"/>
              </w:rPr>
              <w:t>表单填报</w:t>
            </w:r>
          </w:p>
        </w:tc>
        <w:tc>
          <w:tcPr>
            <w:tcW w:w="5166" w:type="dxa"/>
            <w:tcBorders>
              <w:top w:val="single" w:color="auto" w:sz="4" w:space="0"/>
              <w:left w:val="single" w:color="auto" w:sz="4" w:space="0"/>
              <w:bottom w:val="single" w:color="auto" w:sz="4" w:space="0"/>
              <w:right w:val="single" w:color="auto" w:sz="4" w:space="0"/>
            </w:tcBorders>
            <w:vAlign w:val="center"/>
          </w:tcPr>
          <w:p w14:paraId="3744BCA7">
            <w:pPr>
              <w:rPr>
                <w:color w:val="auto"/>
              </w:rPr>
            </w:pPr>
            <w:r>
              <w:rPr>
                <w:rFonts w:hint="eastAsia"/>
                <w:color w:val="auto"/>
              </w:rPr>
              <w:t>在使用所采购的系统进行流程提起和数据录入时，需要满足一定的功能，如下：</w:t>
            </w:r>
          </w:p>
          <w:p w14:paraId="630628FC">
            <w:pPr>
              <w:rPr>
                <w:color w:val="auto"/>
              </w:rPr>
            </w:pPr>
            <w:r>
              <w:rPr>
                <w:rFonts w:hint="eastAsia"/>
                <w:color w:val="auto"/>
              </w:rPr>
              <w:t>1.★支持多种表单控件，包含文本、数字、文字识别、手机短信验证、定位等。</w:t>
            </w:r>
          </w:p>
          <w:p w14:paraId="7E5F2EF9">
            <w:pPr>
              <w:rPr>
                <w:color w:val="auto"/>
              </w:rPr>
            </w:pPr>
            <w:r>
              <w:rPr>
                <w:rFonts w:hint="eastAsia"/>
                <w:color w:val="auto"/>
              </w:rPr>
              <w:t>2.数字控件支持直接配置有效数值范围。</w:t>
            </w:r>
          </w:p>
          <w:p w14:paraId="249A0816">
            <w:pPr>
              <w:rPr>
                <w:color w:val="auto"/>
              </w:rPr>
            </w:pPr>
            <w:r>
              <w:rPr>
                <w:rFonts w:hint="eastAsia"/>
                <w:color w:val="auto"/>
              </w:rPr>
              <w:t>3.▲支持直接配置表单页面和布局，便于业务方使用和后续灵活调整，布局支持需要支持一行四列、多tab页展示等方式。</w:t>
            </w:r>
          </w:p>
          <w:p w14:paraId="4434F0C2">
            <w:pPr>
              <w:rPr>
                <w:color w:val="auto"/>
              </w:rPr>
            </w:pPr>
            <w:r>
              <w:rPr>
                <w:rFonts w:hint="eastAsia"/>
                <w:color w:val="auto"/>
              </w:rPr>
              <w:t>4.支持表间数据灵活配置调用关系，支持需要支持表间数据通过函数调用、关联调用选择多条数据、跨表查询显示多条数据等方式。</w:t>
            </w:r>
          </w:p>
          <w:p w14:paraId="3E05283B">
            <w:pPr>
              <w:rPr>
                <w:color w:val="auto"/>
              </w:rPr>
            </w:pPr>
            <w:r>
              <w:rPr>
                <w:rFonts w:hint="eastAsia"/>
                <w:color w:val="auto"/>
              </w:rPr>
              <w:t>5.支持设置固定格式，将线上数据一键生成文件，支持下载和打印；▲固定格式配置页面支持excel网页直接配置或者word导入格式；导出格式支持PDF、excel和word。</w:t>
            </w:r>
          </w:p>
          <w:p w14:paraId="66E52C88">
            <w:pPr>
              <w:rPr>
                <w:color w:val="auto"/>
              </w:rPr>
            </w:pPr>
            <w:r>
              <w:rPr>
                <w:rFonts w:hint="eastAsia"/>
                <w:color w:val="auto"/>
              </w:rPr>
              <w:t>6.▲表格支持多种视图样式配置，包括但不限于画廊视图、列表视图、甘特图视图。</w:t>
            </w:r>
          </w:p>
          <w:p w14:paraId="00EA5A17">
            <w:pPr>
              <w:rPr>
                <w:color w:val="auto"/>
              </w:rPr>
            </w:pPr>
            <w:r>
              <w:rPr>
                <w:rFonts w:hint="eastAsia"/>
                <w:color w:val="auto"/>
              </w:rPr>
              <w:t>7.▲支持设计预览功能，有预览按钮，在表单设计时可同界面预览到用户视角下的填报页面，提高设计效率。</w:t>
            </w:r>
          </w:p>
          <w:p w14:paraId="398EE16C">
            <w:pPr>
              <w:rPr>
                <w:color w:val="auto"/>
              </w:rPr>
            </w:pPr>
            <w:r>
              <w:rPr>
                <w:rFonts w:hint="eastAsia"/>
                <w:color w:val="auto"/>
              </w:rPr>
              <w:t>8</w:t>
            </w:r>
            <w:r>
              <w:rPr>
                <w:color w:val="auto"/>
              </w:rPr>
              <w:t>.</w:t>
            </w:r>
            <w:r>
              <w:rPr>
                <w:rFonts w:hint="eastAsia"/>
                <w:color w:val="auto"/>
              </w:rPr>
              <w:t>支持定位功能，能够设置多个定位中心点，实现多点定位打卡。</w:t>
            </w:r>
          </w:p>
        </w:tc>
      </w:tr>
      <w:tr w14:paraId="03B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50744195">
            <w:pPr>
              <w:rPr>
                <w:color w:val="auto"/>
              </w:rPr>
            </w:pPr>
            <w:r>
              <w:rPr>
                <w:rFonts w:hint="eastAsia"/>
                <w:color w:val="auto"/>
              </w:rPr>
              <w:t>2</w:t>
            </w:r>
          </w:p>
        </w:tc>
        <w:tc>
          <w:tcPr>
            <w:tcW w:w="1572" w:type="dxa"/>
            <w:tcBorders>
              <w:top w:val="single" w:color="auto" w:sz="4" w:space="0"/>
              <w:left w:val="single" w:color="auto" w:sz="4" w:space="0"/>
              <w:bottom w:val="single" w:color="auto" w:sz="4" w:space="0"/>
              <w:right w:val="single" w:color="auto" w:sz="4" w:space="0"/>
            </w:tcBorders>
            <w:vAlign w:val="center"/>
          </w:tcPr>
          <w:p w14:paraId="1704C0EE">
            <w:pPr>
              <w:rPr>
                <w:color w:val="auto"/>
              </w:rPr>
            </w:pPr>
            <w:r>
              <w:rPr>
                <w:rFonts w:hint="eastAsia"/>
                <w:color w:val="auto"/>
              </w:rPr>
              <w:t>流程管控</w:t>
            </w:r>
          </w:p>
        </w:tc>
        <w:tc>
          <w:tcPr>
            <w:tcW w:w="5166" w:type="dxa"/>
            <w:tcBorders>
              <w:top w:val="single" w:color="auto" w:sz="4" w:space="0"/>
              <w:left w:val="single" w:color="auto" w:sz="4" w:space="0"/>
              <w:bottom w:val="single" w:color="auto" w:sz="4" w:space="0"/>
              <w:right w:val="single" w:color="auto" w:sz="4" w:space="0"/>
            </w:tcBorders>
            <w:vAlign w:val="center"/>
          </w:tcPr>
          <w:p w14:paraId="2C6A2F19">
            <w:pPr>
              <w:pStyle w:val="44"/>
              <w:spacing w:line="240" w:lineRule="auto"/>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w:t>
            </w:r>
            <w:r>
              <w:rPr>
                <w:rFonts w:hint="eastAsia"/>
                <w:color w:val="auto"/>
              </w:rPr>
              <w:t>★</w:t>
            </w:r>
            <w:r>
              <w:rPr>
                <w:rFonts w:hint="eastAsia" w:ascii="仿宋" w:hAnsi="仿宋" w:eastAsia="仿宋"/>
                <w:color w:val="auto"/>
                <w:szCs w:val="24"/>
              </w:rPr>
              <w:t>能够满足流程管控要求，包含主子流程体系、分支、条件、并行等多种流程形式，支持配置智能通过逻辑，若该成员已审批过该流程或与上一项目节点审批人相同，可自动跳过，提高流程效率。</w:t>
            </w:r>
          </w:p>
          <w:p w14:paraId="009D943F">
            <w:pPr>
              <w:pStyle w:val="44"/>
              <w:spacing w:line="240" w:lineRule="auto"/>
              <w:rPr>
                <w:rFonts w:ascii="仿宋" w:hAnsi="仿宋" w:eastAsia="仿宋"/>
                <w:color w:val="auto"/>
                <w:szCs w:val="24"/>
              </w:rPr>
            </w:pPr>
            <w:r>
              <w:rPr>
                <w:rFonts w:hint="eastAsia" w:ascii="仿宋" w:hAnsi="仿宋" w:eastAsia="仿宋"/>
                <w:color w:val="auto"/>
                <w:szCs w:val="24"/>
              </w:rPr>
              <w:t>2</w:t>
            </w:r>
            <w:r>
              <w:rPr>
                <w:rFonts w:ascii="仿宋" w:hAnsi="仿宋" w:eastAsia="仿宋"/>
                <w:color w:val="auto"/>
                <w:szCs w:val="24"/>
              </w:rPr>
              <w:t>.</w:t>
            </w:r>
            <w:r>
              <w:rPr>
                <w:rFonts w:hint="eastAsia" w:ascii="仿宋" w:hAnsi="仿宋" w:eastAsia="仿宋"/>
                <w:color w:val="auto"/>
                <w:szCs w:val="24"/>
              </w:rPr>
              <w:t>▲流程流转线上支持设置备注说明，便于整理流程逻辑。</w:t>
            </w:r>
          </w:p>
          <w:p w14:paraId="384CF746">
            <w:pPr>
              <w:pStyle w:val="44"/>
              <w:spacing w:line="240" w:lineRule="auto"/>
              <w:rPr>
                <w:rFonts w:ascii="仿宋" w:hAnsi="仿宋" w:eastAsia="仿宋"/>
                <w:color w:val="auto"/>
                <w:szCs w:val="24"/>
              </w:rPr>
            </w:pPr>
            <w:r>
              <w:rPr>
                <w:rFonts w:hint="eastAsia" w:ascii="仿宋" w:hAnsi="仿宋" w:eastAsia="仿宋"/>
                <w:color w:val="auto"/>
                <w:szCs w:val="24"/>
              </w:rPr>
              <w:t>3</w:t>
            </w:r>
            <w:r>
              <w:rPr>
                <w:rFonts w:ascii="仿宋" w:hAnsi="仿宋" w:eastAsia="仿宋"/>
                <w:color w:val="auto"/>
                <w:szCs w:val="24"/>
              </w:rPr>
              <w:t>.</w:t>
            </w:r>
            <w:r>
              <w:rPr>
                <w:rFonts w:hint="eastAsia" w:ascii="仿宋" w:hAnsi="仿宋" w:eastAsia="仿宋"/>
                <w:color w:val="auto"/>
                <w:szCs w:val="24"/>
              </w:rPr>
              <w:t>支持配置加签、转交、超时自动处理等功能。</w:t>
            </w:r>
          </w:p>
          <w:p w14:paraId="7BB70FB8">
            <w:pPr>
              <w:pStyle w:val="44"/>
              <w:spacing w:line="240" w:lineRule="auto"/>
              <w:rPr>
                <w:rFonts w:ascii="仿宋" w:hAnsi="仿宋" w:eastAsia="仿宋"/>
                <w:color w:val="auto"/>
                <w:szCs w:val="24"/>
              </w:rPr>
            </w:pPr>
            <w:r>
              <w:rPr>
                <w:rFonts w:hint="eastAsia" w:ascii="仿宋" w:hAnsi="仿宋" w:eastAsia="仿宋"/>
                <w:color w:val="auto"/>
                <w:szCs w:val="24"/>
              </w:rPr>
              <w:t>4</w:t>
            </w:r>
            <w:r>
              <w:rPr>
                <w:rFonts w:ascii="仿宋" w:hAnsi="仿宋" w:eastAsia="仿宋"/>
                <w:color w:val="auto"/>
                <w:szCs w:val="24"/>
              </w:rPr>
              <w:t>.</w:t>
            </w:r>
            <w:r>
              <w:rPr>
                <w:rFonts w:hint="eastAsia" w:ascii="仿宋" w:hAnsi="仿宋" w:eastAsia="仿宋"/>
                <w:color w:val="auto"/>
                <w:szCs w:val="24"/>
              </w:rPr>
              <w:t>▲支持设计预览功能，有预览按钮，在流程设计时可同界面预览到用户视角下的审批页面，提高设计效率。</w:t>
            </w:r>
          </w:p>
          <w:p w14:paraId="38E3029A">
            <w:pPr>
              <w:pStyle w:val="44"/>
              <w:spacing w:line="240" w:lineRule="auto"/>
              <w:rPr>
                <w:rFonts w:ascii="仿宋" w:hAnsi="仿宋" w:eastAsia="仿宋"/>
                <w:color w:val="auto"/>
                <w:szCs w:val="24"/>
              </w:rPr>
            </w:pPr>
            <w:r>
              <w:rPr>
                <w:rFonts w:hint="eastAsia" w:ascii="仿宋" w:hAnsi="仿宋" w:eastAsia="仿宋"/>
                <w:color w:val="auto"/>
                <w:szCs w:val="24"/>
              </w:rPr>
              <w:t>5</w:t>
            </w:r>
            <w:r>
              <w:rPr>
                <w:rFonts w:ascii="仿宋" w:hAnsi="仿宋" w:eastAsia="仿宋"/>
                <w:color w:val="auto"/>
                <w:szCs w:val="24"/>
              </w:rPr>
              <w:t>.</w:t>
            </w:r>
            <w:r>
              <w:rPr>
                <w:rFonts w:hint="eastAsia" w:ascii="仿宋" w:hAnsi="仿宋" w:eastAsia="仿宋"/>
                <w:color w:val="auto"/>
                <w:szCs w:val="24"/>
              </w:rPr>
              <w:t>支持流程限时处理，▲支持超时自动驳回，退回到某一节点可配置；重新提交到某一结点也可配置。</w:t>
            </w:r>
          </w:p>
          <w:p w14:paraId="77E7920D">
            <w:pPr>
              <w:pStyle w:val="44"/>
              <w:spacing w:line="240" w:lineRule="auto"/>
              <w:rPr>
                <w:rFonts w:ascii="仿宋" w:hAnsi="仿宋" w:eastAsia="仿宋"/>
                <w:color w:val="auto"/>
                <w:szCs w:val="24"/>
              </w:rPr>
            </w:pPr>
            <w:r>
              <w:rPr>
                <w:rFonts w:hint="eastAsia" w:ascii="仿宋" w:hAnsi="仿宋" w:eastAsia="仿宋"/>
                <w:color w:val="auto"/>
                <w:szCs w:val="24"/>
              </w:rPr>
              <w:t>6</w:t>
            </w:r>
            <w:r>
              <w:rPr>
                <w:rFonts w:ascii="仿宋" w:hAnsi="仿宋" w:eastAsia="仿宋"/>
                <w:color w:val="auto"/>
                <w:szCs w:val="24"/>
              </w:rPr>
              <w:t>.</w:t>
            </w:r>
            <w:r>
              <w:rPr>
                <w:rFonts w:hint="eastAsia" w:ascii="仿宋" w:hAnsi="仿宋" w:eastAsia="仿宋"/>
                <w:color w:val="auto"/>
                <w:szCs w:val="24"/>
              </w:rPr>
              <w:t>▲能够对所有项目流程分别一键生成流程效率分析看板，直观看到累计流程数、未结束流程数、流程各节点现存数、所有成员现存流程待办数，平均一个流程的执行周期等数据，要求可直接生成无需配置。</w:t>
            </w:r>
          </w:p>
          <w:p w14:paraId="09DB0133">
            <w:pPr>
              <w:pStyle w:val="44"/>
              <w:spacing w:line="240" w:lineRule="auto"/>
              <w:rPr>
                <w:rFonts w:ascii="仿宋" w:hAnsi="仿宋" w:eastAsia="仿宋"/>
                <w:color w:val="auto"/>
                <w:szCs w:val="24"/>
              </w:rPr>
            </w:pPr>
            <w:r>
              <w:rPr>
                <w:rFonts w:hint="eastAsia" w:ascii="仿宋" w:hAnsi="仿宋" w:eastAsia="仿宋"/>
                <w:color w:val="auto"/>
                <w:szCs w:val="24"/>
              </w:rPr>
              <w:t>7</w:t>
            </w:r>
            <w:r>
              <w:rPr>
                <w:rFonts w:ascii="仿宋" w:hAnsi="仿宋" w:eastAsia="仿宋"/>
                <w:color w:val="auto"/>
                <w:szCs w:val="24"/>
              </w:rPr>
              <w:t>.</w:t>
            </w:r>
            <w:r>
              <w:rPr>
                <w:rFonts w:hint="eastAsia" w:ascii="仿宋" w:hAnsi="仿宋" w:eastAsia="仿宋"/>
                <w:color w:val="auto"/>
                <w:szCs w:val="24"/>
              </w:rPr>
              <w:t>支持配置消息简报，可设置审批人在收到待办时可见哪些关键信息。</w:t>
            </w:r>
          </w:p>
          <w:p w14:paraId="31C9BA66">
            <w:pPr>
              <w:pStyle w:val="44"/>
              <w:spacing w:line="240" w:lineRule="auto"/>
              <w:rPr>
                <w:rFonts w:ascii="仿宋" w:hAnsi="仿宋" w:eastAsia="仿宋"/>
                <w:color w:val="auto"/>
                <w:szCs w:val="24"/>
              </w:rPr>
            </w:pPr>
            <w:r>
              <w:rPr>
                <w:rFonts w:hint="eastAsia" w:ascii="仿宋" w:hAnsi="仿宋" w:eastAsia="仿宋"/>
                <w:color w:val="auto"/>
                <w:szCs w:val="24"/>
              </w:rPr>
              <w:t>8</w:t>
            </w:r>
            <w:r>
              <w:rPr>
                <w:rFonts w:ascii="仿宋" w:hAnsi="仿宋" w:eastAsia="仿宋"/>
                <w:color w:val="auto"/>
                <w:szCs w:val="24"/>
              </w:rPr>
              <w:t>.</w:t>
            </w:r>
            <w:r>
              <w:rPr>
                <w:rFonts w:hint="eastAsia" w:ascii="仿宋" w:hAnsi="仿宋" w:eastAsia="仿宋"/>
                <w:color w:val="auto"/>
                <w:szCs w:val="24"/>
              </w:rPr>
              <w:t>支持发起人撤回申请和催办。</w:t>
            </w:r>
          </w:p>
          <w:p w14:paraId="2300AFBA">
            <w:pPr>
              <w:pStyle w:val="44"/>
              <w:spacing w:line="240" w:lineRule="auto"/>
              <w:rPr>
                <w:rFonts w:ascii="仿宋" w:hAnsi="仿宋" w:eastAsia="仿宋"/>
                <w:color w:val="auto"/>
                <w:szCs w:val="24"/>
              </w:rPr>
            </w:pPr>
            <w:r>
              <w:rPr>
                <w:rFonts w:hint="eastAsia" w:ascii="仿宋" w:hAnsi="仿宋" w:eastAsia="仿宋"/>
                <w:color w:val="auto"/>
                <w:szCs w:val="24"/>
              </w:rPr>
              <w:t>9</w:t>
            </w:r>
            <w:r>
              <w:rPr>
                <w:rFonts w:ascii="仿宋" w:hAnsi="仿宋" w:eastAsia="仿宋"/>
                <w:color w:val="auto"/>
                <w:szCs w:val="24"/>
              </w:rPr>
              <w:t>.</w:t>
            </w:r>
            <w:r>
              <w:rPr>
                <w:rFonts w:hint="eastAsia" w:ascii="仿宋" w:hAnsi="仿宋" w:eastAsia="仿宋"/>
                <w:color w:val="auto"/>
                <w:szCs w:val="24"/>
              </w:rPr>
              <w:t>支持流程线上文件上传、撤销、删除、添加等功能，流程结束后支持一键生成文档，或选择性组合生成文档，且可下载、打印，便于纸质档案管理。</w:t>
            </w:r>
          </w:p>
          <w:p w14:paraId="6C622FC9">
            <w:pPr>
              <w:pStyle w:val="44"/>
              <w:spacing w:line="240" w:lineRule="auto"/>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0.</w:t>
            </w:r>
            <w:r>
              <w:rPr>
                <w:rFonts w:hint="eastAsia" w:ascii="仿宋" w:hAnsi="仿宋" w:eastAsia="仿宋"/>
                <w:color w:val="auto"/>
                <w:szCs w:val="24"/>
              </w:rPr>
              <w:t>支持按时间节点或数量下限预警。</w:t>
            </w:r>
          </w:p>
          <w:p w14:paraId="0DD01B39">
            <w:pPr>
              <w:pStyle w:val="44"/>
              <w:spacing w:line="240" w:lineRule="auto"/>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1.</w:t>
            </w:r>
            <w:r>
              <w:rPr>
                <w:rFonts w:hint="eastAsia" w:ascii="仿宋" w:hAnsi="仿宋" w:eastAsia="仿宋"/>
                <w:color w:val="auto"/>
                <w:szCs w:val="24"/>
              </w:rPr>
              <w:t>如有未完结流程，从总菜单到终端以橙色表示。</w:t>
            </w:r>
          </w:p>
        </w:tc>
      </w:tr>
      <w:tr w14:paraId="3B9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3A761432">
            <w:pPr>
              <w:rPr>
                <w:color w:val="auto"/>
              </w:rPr>
            </w:pPr>
            <w:r>
              <w:rPr>
                <w:rFonts w:hint="eastAsia"/>
                <w:color w:val="auto"/>
              </w:rPr>
              <w:t>3</w:t>
            </w:r>
          </w:p>
        </w:tc>
        <w:tc>
          <w:tcPr>
            <w:tcW w:w="1572" w:type="dxa"/>
            <w:tcBorders>
              <w:top w:val="single" w:color="auto" w:sz="4" w:space="0"/>
              <w:left w:val="single" w:color="auto" w:sz="4" w:space="0"/>
              <w:bottom w:val="single" w:color="auto" w:sz="4" w:space="0"/>
              <w:right w:val="single" w:color="auto" w:sz="4" w:space="0"/>
            </w:tcBorders>
            <w:vAlign w:val="center"/>
          </w:tcPr>
          <w:p w14:paraId="5EF19076">
            <w:pPr>
              <w:rPr>
                <w:color w:val="auto"/>
              </w:rPr>
            </w:pPr>
            <w:r>
              <w:rPr>
                <w:rFonts w:hint="eastAsia"/>
                <w:color w:val="auto"/>
              </w:rPr>
              <w:t>数据综合治理</w:t>
            </w:r>
          </w:p>
        </w:tc>
        <w:tc>
          <w:tcPr>
            <w:tcW w:w="5166" w:type="dxa"/>
            <w:tcBorders>
              <w:top w:val="single" w:color="auto" w:sz="4" w:space="0"/>
              <w:left w:val="single" w:color="auto" w:sz="4" w:space="0"/>
              <w:bottom w:val="single" w:color="auto" w:sz="4" w:space="0"/>
              <w:right w:val="single" w:color="auto" w:sz="4" w:space="0"/>
            </w:tcBorders>
            <w:vAlign w:val="center"/>
          </w:tcPr>
          <w:p w14:paraId="743FF7F3">
            <w:pPr>
              <w:rPr>
                <w:color w:val="auto"/>
              </w:rPr>
            </w:pPr>
            <w:r>
              <w:rPr>
                <w:rFonts w:hint="eastAsia"/>
                <w:color w:val="auto"/>
              </w:rPr>
              <w:t>对于多表数据，支持可视化直接进行数据处理，功能要求包含：</w:t>
            </w:r>
          </w:p>
          <w:p w14:paraId="5518137F">
            <w:pPr>
              <w:rPr>
                <w:color w:val="auto"/>
              </w:rPr>
            </w:pPr>
            <w:r>
              <w:rPr>
                <w:rFonts w:hint="eastAsia"/>
                <w:color w:val="auto"/>
              </w:rPr>
              <w:t>1.★支持无代码配置数据处理功能，支持多表同时参与计算。</w:t>
            </w:r>
          </w:p>
          <w:p w14:paraId="17B0D079">
            <w:pPr>
              <w:rPr>
                <w:color w:val="auto"/>
              </w:rPr>
            </w:pPr>
            <w:r>
              <w:rPr>
                <w:rFonts w:hint="eastAsia"/>
                <w:color w:val="auto"/>
              </w:rPr>
              <w:t>2.▲多表之间支持多种数据处理操作，至少包含表与表间横向连接和纵向合并、数据按自定义条件筛选、按维度分组并汇总、添加公式计算字段、行列转置、去重等；</w:t>
            </w:r>
          </w:p>
          <w:p w14:paraId="753A638F">
            <w:pPr>
              <w:rPr>
                <w:color w:val="auto"/>
              </w:rPr>
            </w:pPr>
            <w:r>
              <w:rPr>
                <w:rFonts w:hint="eastAsia"/>
                <w:color w:val="auto"/>
              </w:rPr>
              <w:t>3.▲支持处理结果输出自动写入表单，支持配置自动更新写入和定时写入规则。</w:t>
            </w:r>
          </w:p>
          <w:p w14:paraId="5C0A483A">
            <w:pPr>
              <w:rPr>
                <w:color w:val="auto"/>
              </w:rPr>
            </w:pPr>
            <w:r>
              <w:rPr>
                <w:rFonts w:hint="eastAsia"/>
                <w:color w:val="auto"/>
              </w:rPr>
              <w:t>4.支持处理结果输出到数据看板，在报表看板中直接调用计算结果。</w:t>
            </w:r>
          </w:p>
          <w:p w14:paraId="1181CCD6">
            <w:pPr>
              <w:rPr>
                <w:color w:val="auto"/>
              </w:rPr>
            </w:pPr>
            <w:r>
              <w:rPr>
                <w:rFonts w:hint="eastAsia"/>
                <w:color w:val="auto"/>
              </w:rPr>
              <w:t>5.▲支持配置数据中间表，对单个表单或者多个表单进行数据预处理，处理功能包含聚合、拆表、合表等，处理结果支持被表单实时调用。</w:t>
            </w:r>
          </w:p>
        </w:tc>
      </w:tr>
      <w:tr w14:paraId="1B0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69C228FC">
            <w:pPr>
              <w:rPr>
                <w:color w:val="auto"/>
              </w:rPr>
            </w:pPr>
            <w:r>
              <w:rPr>
                <w:rFonts w:hint="eastAsia"/>
                <w:color w:val="auto"/>
              </w:rPr>
              <w:t>4</w:t>
            </w:r>
          </w:p>
        </w:tc>
        <w:tc>
          <w:tcPr>
            <w:tcW w:w="1572" w:type="dxa"/>
            <w:tcBorders>
              <w:top w:val="single" w:color="auto" w:sz="4" w:space="0"/>
              <w:left w:val="single" w:color="auto" w:sz="4" w:space="0"/>
              <w:bottom w:val="single" w:color="auto" w:sz="4" w:space="0"/>
              <w:right w:val="single" w:color="auto" w:sz="4" w:space="0"/>
            </w:tcBorders>
            <w:vAlign w:val="center"/>
          </w:tcPr>
          <w:p w14:paraId="58AB284F">
            <w:pPr>
              <w:rPr>
                <w:color w:val="auto"/>
              </w:rPr>
            </w:pPr>
            <w:r>
              <w:rPr>
                <w:rFonts w:hint="eastAsia"/>
                <w:color w:val="auto"/>
              </w:rPr>
              <w:t>报表分析</w:t>
            </w:r>
          </w:p>
        </w:tc>
        <w:tc>
          <w:tcPr>
            <w:tcW w:w="5166" w:type="dxa"/>
            <w:tcBorders>
              <w:top w:val="single" w:color="auto" w:sz="4" w:space="0"/>
              <w:left w:val="single" w:color="auto" w:sz="4" w:space="0"/>
              <w:bottom w:val="single" w:color="auto" w:sz="4" w:space="0"/>
              <w:right w:val="single" w:color="auto" w:sz="4" w:space="0"/>
            </w:tcBorders>
            <w:vAlign w:val="center"/>
          </w:tcPr>
          <w:p w14:paraId="39363398">
            <w:pPr>
              <w:rPr>
                <w:color w:val="auto"/>
              </w:rPr>
            </w:pPr>
            <w:r>
              <w:rPr>
                <w:rFonts w:hint="eastAsia"/>
                <w:color w:val="auto"/>
              </w:rPr>
              <w:t>支持系统数据直接在报表进行展示，支持自定义报表，过程要求可无代码直接配置操作，便于业务方使用，细节如下：</w:t>
            </w:r>
          </w:p>
          <w:p w14:paraId="3BF38671">
            <w:pPr>
              <w:rPr>
                <w:color w:val="auto"/>
              </w:rPr>
            </w:pPr>
            <w:r>
              <w:rPr>
                <w:rFonts w:hint="eastAsia"/>
                <w:color w:val="auto"/>
              </w:rPr>
              <w:t>1</w:t>
            </w:r>
            <w:r>
              <w:rPr>
                <w:color w:val="auto"/>
              </w:rPr>
              <w:t>.</w:t>
            </w:r>
            <w:r>
              <w:rPr>
                <w:rFonts w:hint="eastAsia"/>
                <w:color w:val="auto"/>
              </w:rPr>
              <w:t>★数据来源至少支持表单、数据处理、数据聚合三种方式。</w:t>
            </w:r>
          </w:p>
          <w:p w14:paraId="087978FE">
            <w:pPr>
              <w:rPr>
                <w:color w:val="auto"/>
              </w:rPr>
            </w:pPr>
            <w:r>
              <w:rPr>
                <w:rFonts w:hint="eastAsia"/>
                <w:color w:val="auto"/>
              </w:rPr>
              <w:t>2.▲图表类型支持20种及以上，至少包含点地图、地图、散点图、气泡图、甘特图、日历、雷达图、数据管理表格、流程分析表。</w:t>
            </w:r>
          </w:p>
          <w:p w14:paraId="372356E1">
            <w:pPr>
              <w:rPr>
                <w:color w:val="auto"/>
              </w:rPr>
            </w:pPr>
            <w:r>
              <w:rPr>
                <w:rFonts w:hint="eastAsia"/>
                <w:color w:val="auto"/>
              </w:rPr>
              <w:t>3.支持各图表和看板整体分别进行配色设置，优化展示效果，支持图表标题、内容、指标等分别进行配色设置。</w:t>
            </w:r>
          </w:p>
          <w:p w14:paraId="61C8CED4">
            <w:pPr>
              <w:rPr>
                <w:color w:val="auto"/>
              </w:rPr>
            </w:pPr>
            <w:r>
              <w:rPr>
                <w:rFonts w:hint="eastAsia"/>
                <w:color w:val="auto"/>
              </w:rPr>
              <w:t>4.▲可配置图表间数据联动关系，便于查看时进行数据联动查询。</w:t>
            </w:r>
          </w:p>
          <w:p w14:paraId="6FB373BA">
            <w:pPr>
              <w:rPr>
                <w:color w:val="auto"/>
              </w:rPr>
            </w:pPr>
            <w:r>
              <w:rPr>
                <w:rFonts w:hint="eastAsia"/>
                <w:color w:val="auto"/>
              </w:rPr>
              <w:t>5.▲报表支持筛选查询，筛选条件间支持配置联动逻辑关系，实现层级筛选。</w:t>
            </w:r>
          </w:p>
          <w:p w14:paraId="526BA92B">
            <w:pPr>
              <w:pStyle w:val="29"/>
              <w:numPr>
                <w:ilvl w:val="0"/>
                <w:numId w:val="1"/>
              </w:numPr>
              <w:ind w:firstLineChars="0"/>
              <w:rPr>
                <w:color w:val="auto"/>
              </w:rPr>
            </w:pPr>
            <w:r>
              <w:rPr>
                <w:rFonts w:hint="eastAsia"/>
                <w:color w:val="auto"/>
              </w:rPr>
              <w:t>支持数据钻取，可通过图表钻取到明细数据。</w:t>
            </w:r>
          </w:p>
          <w:p w14:paraId="0745C78B">
            <w:pPr>
              <w:rPr>
                <w:color w:val="auto"/>
              </w:rPr>
            </w:pPr>
            <w:r>
              <w:rPr>
                <w:rFonts w:hint="eastAsia"/>
                <w:color w:val="auto"/>
              </w:rPr>
              <w:t>7.可设置报表自动定时查阅提醒。</w:t>
            </w:r>
          </w:p>
        </w:tc>
      </w:tr>
    </w:tbl>
    <w:p w14:paraId="21949DD9">
      <w:pPr>
        <w:rPr>
          <w:color w:val="auto"/>
        </w:rPr>
      </w:pPr>
    </w:p>
    <w:p w14:paraId="5D785C5B">
      <w:pPr>
        <w:rPr>
          <w:color w:val="auto"/>
        </w:rPr>
      </w:pPr>
      <w:r>
        <w:rPr>
          <w:rFonts w:hint="eastAsia"/>
          <w:color w:val="auto"/>
        </w:rPr>
        <w:t>三、商务要求</w:t>
      </w:r>
    </w:p>
    <w:p w14:paraId="6D7BF6AF">
      <w:pPr>
        <w:rPr>
          <w:color w:val="auto"/>
        </w:rPr>
      </w:pPr>
      <w:r>
        <w:rPr>
          <w:rFonts w:hint="eastAsia"/>
          <w:color w:val="auto"/>
        </w:rPr>
        <w:t>1</w:t>
      </w:r>
      <w:r>
        <w:rPr>
          <w:color w:val="auto"/>
        </w:rPr>
        <w:t>.</w:t>
      </w:r>
      <w:r>
        <w:rPr>
          <w:rFonts w:hint="eastAsia"/>
          <w:color w:val="auto"/>
        </w:rPr>
        <w:t>合同期：自验收通过之日起计算合同期，合同期为2年。</w:t>
      </w:r>
    </w:p>
    <w:p w14:paraId="47B3796E">
      <w:pPr>
        <w:rPr>
          <w:color w:val="auto"/>
        </w:rPr>
      </w:pPr>
      <w:r>
        <w:rPr>
          <w:rFonts w:hint="eastAsia"/>
          <w:color w:val="auto"/>
        </w:rPr>
        <w:t>2</w:t>
      </w:r>
      <w:r>
        <w:rPr>
          <w:color w:val="auto"/>
        </w:rPr>
        <w:t>.</w:t>
      </w:r>
      <w:r>
        <w:rPr>
          <w:rFonts w:hint="eastAsia"/>
          <w:color w:val="auto"/>
        </w:rPr>
        <w:t>交货时间：自验收通过后3个工作日内。</w:t>
      </w:r>
    </w:p>
    <w:p w14:paraId="17AA1D49">
      <w:pPr>
        <w:rPr>
          <w:color w:val="auto"/>
        </w:rPr>
      </w:pPr>
      <w:r>
        <w:rPr>
          <w:rFonts w:hint="eastAsia"/>
          <w:color w:val="auto"/>
        </w:rPr>
        <w:t>3</w:t>
      </w:r>
      <w:r>
        <w:rPr>
          <w:color w:val="auto"/>
        </w:rPr>
        <w:t>.</w:t>
      </w:r>
      <w:r>
        <w:rPr>
          <w:rFonts w:hint="eastAsia"/>
          <w:color w:val="auto"/>
        </w:rPr>
        <w:t>交货地点：南京大学仙林校区。</w:t>
      </w:r>
    </w:p>
    <w:p w14:paraId="63FDDD24">
      <w:pPr>
        <w:rPr>
          <w:color w:val="auto"/>
        </w:rPr>
      </w:pPr>
      <w:r>
        <w:rPr>
          <w:rFonts w:hint="eastAsia"/>
          <w:color w:val="auto"/>
        </w:rPr>
        <w:t>4</w:t>
      </w:r>
      <w:r>
        <w:rPr>
          <w:color w:val="auto"/>
        </w:rPr>
        <w:t>.</w:t>
      </w:r>
      <w:r>
        <w:rPr>
          <w:rFonts w:hint="eastAsia"/>
          <w:color w:val="auto"/>
        </w:rPr>
        <w:t>售后服务响应要求：供应商保证在接到故障电话后的6小时内响应采购人的要求，并且在12小时内派员上门现场维护并在24小时内排除故障修复使用。</w:t>
      </w:r>
    </w:p>
    <w:p w14:paraId="1D199C26">
      <w:pPr>
        <w:pStyle w:val="29"/>
        <w:ind w:firstLine="0" w:firstLineChars="0"/>
        <w:rPr>
          <w:color w:val="auto"/>
        </w:rPr>
      </w:pPr>
      <w:r>
        <w:rPr>
          <w:rFonts w:hint="eastAsia"/>
          <w:color w:val="auto"/>
        </w:rPr>
        <w:t>5</w:t>
      </w:r>
      <w:r>
        <w:rPr>
          <w:color w:val="auto"/>
        </w:rPr>
        <w:t>.</w:t>
      </w:r>
      <w:r>
        <w:rPr>
          <w:rFonts w:hint="eastAsia"/>
          <w:color w:val="auto"/>
        </w:rPr>
        <w:t>培训要求：供应商需提供系统产品配置和开发培训，采购人将派技术人员参与系统配置和代码开发学习，以便采购人技术人员后续可以逐步接受系统配置、二次开发和运维。供应商负责对采购人相关人员进行平台基本操作的现场免费培训，直至能独立操作。培训内容包括平台运行的基本原理、上机操作、软件使用与开发、日常维护保养及常见故障排除等。</w:t>
      </w:r>
    </w:p>
    <w:p w14:paraId="7A88311F">
      <w:pPr>
        <w:rPr>
          <w:color w:val="auto"/>
        </w:rPr>
      </w:pPr>
      <w:r>
        <w:rPr>
          <w:rFonts w:hint="eastAsia"/>
          <w:color w:val="auto"/>
        </w:rPr>
        <w:t>6</w:t>
      </w:r>
      <w:r>
        <w:rPr>
          <w:color w:val="auto"/>
        </w:rPr>
        <w:t>.</w:t>
      </w:r>
      <w:r>
        <w:rPr>
          <w:rFonts w:hint="eastAsia"/>
          <w:color w:val="auto"/>
        </w:rPr>
        <w:t>付款方式：</w:t>
      </w:r>
      <w:bookmarkStart w:id="2" w:name="OLE_LINK1"/>
      <w:bookmarkStart w:id="3" w:name="OLE_LINK2"/>
      <w:r>
        <w:rPr>
          <w:rFonts w:hint="eastAsia"/>
          <w:color w:val="auto"/>
        </w:rPr>
        <w:t>付款方式：产品开通部署验收后付款5</w:t>
      </w:r>
      <w:r>
        <w:rPr>
          <w:color w:val="auto"/>
        </w:rPr>
        <w:t>0%</w:t>
      </w:r>
      <w:r>
        <w:rPr>
          <w:rFonts w:hint="eastAsia"/>
          <w:color w:val="auto"/>
        </w:rPr>
        <w:t>，合同期满前1个月再付款剩余部分。</w:t>
      </w:r>
    </w:p>
    <w:bookmarkEnd w:id="2"/>
    <w:bookmarkEnd w:id="3"/>
    <w:p w14:paraId="55D171DD">
      <w:pPr>
        <w:rPr>
          <w:color w:val="auto"/>
        </w:rPr>
      </w:pPr>
    </w:p>
    <w:p w14:paraId="5F0A1203">
      <w:pPr>
        <w:rPr>
          <w:color w:val="auto"/>
        </w:rPr>
      </w:pPr>
      <w:r>
        <w:rPr>
          <w:rFonts w:hint="eastAsia"/>
          <w:color w:val="auto"/>
        </w:rPr>
        <w:t>四、履约验收方案</w:t>
      </w:r>
    </w:p>
    <w:p w14:paraId="2061D80E">
      <w:pPr>
        <w:rPr>
          <w:color w:val="auto"/>
        </w:rPr>
      </w:pPr>
      <w:r>
        <w:rPr>
          <w:rFonts w:hint="eastAsia"/>
          <w:color w:val="auto"/>
        </w:rPr>
        <w:t>1.供应商根据采购需求进行系统开发工作，达到各项技术和功能要求，完成系统部署、培训和上线运行，待系统运行稳定后，提交验收。</w:t>
      </w:r>
    </w:p>
    <w:p w14:paraId="64AA5831">
      <w:pPr>
        <w:rPr>
          <w:color w:val="auto"/>
        </w:rPr>
      </w:pPr>
      <w:r>
        <w:rPr>
          <w:rFonts w:hint="eastAsia"/>
          <w:color w:val="auto"/>
        </w:rPr>
        <w:t>2.供应商提交相关软件技术文档、验收文档、系统程序（光盘）和用户手册等。</w:t>
      </w:r>
    </w:p>
    <w:p w14:paraId="76063819">
      <w:pPr>
        <w:rPr>
          <w:color w:val="auto"/>
        </w:rPr>
      </w:pPr>
      <w:r>
        <w:rPr>
          <w:rFonts w:hint="eastAsia"/>
          <w:color w:val="auto"/>
        </w:rPr>
        <w:t>3.具备正式验收条件后，采购人组织项目组成员以及相关专家，举行项目验收评审会议进行验收，会议通过或有条件通过（在满足提出的修改意见之后），同时出具《验收报告》，则视为正式验收合格。</w:t>
      </w:r>
    </w:p>
    <w:p w14:paraId="67A3114A">
      <w:pPr>
        <w:rPr>
          <w:color w:val="auto"/>
        </w:rPr>
      </w:pPr>
      <w:r>
        <w:rPr>
          <w:rFonts w:hint="eastAsia"/>
          <w:color w:val="auto"/>
        </w:rPr>
        <w:t xml:space="preserve"> </w:t>
      </w:r>
    </w:p>
    <w:p w14:paraId="75DB279C">
      <w:pPr>
        <w:rPr>
          <w:color w:val="auto"/>
        </w:rPr>
      </w:pPr>
      <w:r>
        <w:rPr>
          <w:color w:val="auto"/>
        </w:rPr>
        <w:br w:type="page"/>
      </w:r>
    </w:p>
    <w:p w14:paraId="738B82CE">
      <w:pPr>
        <w:rPr>
          <w:snapToGrid w:val="0"/>
          <w:color w:val="auto"/>
        </w:rPr>
      </w:pPr>
      <w:r>
        <w:rPr>
          <w:rFonts w:hint="eastAsia"/>
          <w:snapToGrid w:val="0"/>
          <w:color w:val="auto"/>
        </w:rPr>
        <w:t>附件：响应文件格式</w:t>
      </w:r>
    </w:p>
    <w:p w14:paraId="4A2611D8">
      <w:pPr>
        <w:rPr>
          <w:snapToGrid w:val="0"/>
          <w:color w:val="auto"/>
        </w:rPr>
      </w:pPr>
    </w:p>
    <w:p w14:paraId="318772CC">
      <w:pPr>
        <w:jc w:val="center"/>
        <w:rPr>
          <w:color w:val="auto"/>
          <w:sz w:val="32"/>
          <w:szCs w:val="32"/>
        </w:rPr>
      </w:pPr>
      <w:r>
        <w:rPr>
          <w:rFonts w:hint="eastAsia"/>
          <w:color w:val="auto"/>
          <w:sz w:val="32"/>
          <w:szCs w:val="32"/>
        </w:rPr>
        <w:t>采 购 承 诺 函</w:t>
      </w:r>
    </w:p>
    <w:p w14:paraId="344BC218">
      <w:pPr>
        <w:rPr>
          <w:color w:val="auto"/>
        </w:rPr>
      </w:pPr>
    </w:p>
    <w:p w14:paraId="5961DF38">
      <w:pPr>
        <w:rPr>
          <w:color w:val="auto"/>
        </w:rPr>
      </w:pPr>
      <w:r>
        <w:rPr>
          <w:rFonts w:hint="eastAsia"/>
          <w:color w:val="auto"/>
        </w:rPr>
        <w:t xml:space="preserve">南京大学后勤服务集团物业中心：                    </w:t>
      </w:r>
    </w:p>
    <w:p w14:paraId="1ABD52A5">
      <w:pPr>
        <w:rPr>
          <w:color w:val="auto"/>
        </w:rPr>
      </w:pPr>
      <w:r>
        <w:rPr>
          <w:rFonts w:hint="eastAsia"/>
          <w:color w:val="auto"/>
        </w:rPr>
        <w:t>1.根据已收到的南京大学</w:t>
      </w:r>
      <w:r>
        <w:rPr>
          <w:color w:val="auto"/>
          <w:u w:val="single"/>
        </w:rPr>
        <w:t xml:space="preserve">                 </w:t>
      </w:r>
      <w:r>
        <w:rPr>
          <w:rFonts w:hint="eastAsia"/>
          <w:color w:val="auto"/>
        </w:rPr>
        <w:t>项目的采购文件。我单位研究采购文件的各项有关内容后，愿提供采购文件所要求的服务，并真实响应采购文件提出的各项规定和要求。</w:t>
      </w:r>
    </w:p>
    <w:p w14:paraId="6C183B9C">
      <w:pPr>
        <w:rPr>
          <w:color w:val="auto"/>
        </w:rPr>
      </w:pPr>
      <w:r>
        <w:rPr>
          <w:rFonts w:hint="eastAsia"/>
          <w:color w:val="auto"/>
        </w:rPr>
        <w:t>2.如果我单位成交，我们将按照相关的法律法规和所签订的合同来履行自己的责任和义务。</w:t>
      </w:r>
    </w:p>
    <w:p w14:paraId="78B3CE4C">
      <w:pPr>
        <w:rPr>
          <w:color w:val="auto"/>
        </w:rPr>
      </w:pPr>
      <w:r>
        <w:rPr>
          <w:rFonts w:hint="eastAsia"/>
          <w:color w:val="auto"/>
        </w:rPr>
        <w:t>3.除非双方另外达成协议并生效，贵单位的采购文件和本响应文件将构成约束我们双方的合同。</w:t>
      </w:r>
    </w:p>
    <w:p w14:paraId="24FE38EA">
      <w:pPr>
        <w:rPr>
          <w:color w:val="auto"/>
        </w:rPr>
      </w:pPr>
    </w:p>
    <w:p w14:paraId="47DA33DC">
      <w:pPr>
        <w:rPr>
          <w:color w:val="auto"/>
        </w:rPr>
      </w:pPr>
      <w:r>
        <w:rPr>
          <w:rFonts w:hint="eastAsia"/>
          <w:color w:val="auto"/>
        </w:rPr>
        <w:t xml:space="preserve">供应商（盖章）：                                             </w:t>
      </w:r>
    </w:p>
    <w:p w14:paraId="19046A5F">
      <w:pPr>
        <w:rPr>
          <w:color w:val="auto"/>
        </w:rPr>
      </w:pPr>
      <w:r>
        <w:rPr>
          <w:rFonts w:hint="eastAsia"/>
          <w:color w:val="auto"/>
        </w:rPr>
        <w:t xml:space="preserve">单位地址：                                                   </w:t>
      </w:r>
    </w:p>
    <w:p w14:paraId="5971841E">
      <w:pPr>
        <w:rPr>
          <w:color w:val="auto"/>
        </w:rPr>
      </w:pPr>
      <w:r>
        <w:rPr>
          <w:rFonts w:hint="eastAsia"/>
          <w:color w:val="auto"/>
        </w:rPr>
        <w:t xml:space="preserve">法定代表人或授权代表（签字）：         </w:t>
      </w:r>
      <w:r>
        <w:rPr>
          <w:color w:val="auto"/>
        </w:rPr>
        <w:t xml:space="preserve">  </w:t>
      </w:r>
      <w:r>
        <w:rPr>
          <w:rFonts w:hint="eastAsia"/>
          <w:color w:val="auto"/>
        </w:rPr>
        <w:t xml:space="preserve">                    </w:t>
      </w:r>
    </w:p>
    <w:p w14:paraId="72E66948">
      <w:pPr>
        <w:rPr>
          <w:color w:val="auto"/>
        </w:rPr>
      </w:pPr>
      <w:r>
        <w:rPr>
          <w:rFonts w:hint="eastAsia"/>
          <w:color w:val="auto"/>
        </w:rPr>
        <w:t xml:space="preserve">联系电话：                                                   </w:t>
      </w:r>
    </w:p>
    <w:p w14:paraId="0C61EF10">
      <w:pPr>
        <w:rPr>
          <w:color w:val="auto"/>
        </w:rPr>
      </w:pPr>
      <w:r>
        <w:rPr>
          <w:rFonts w:hint="eastAsia"/>
          <w:color w:val="auto"/>
        </w:rPr>
        <w:t xml:space="preserve">日    期：2025年  </w:t>
      </w:r>
      <w:r>
        <w:rPr>
          <w:color w:val="auto"/>
        </w:rPr>
        <w:t xml:space="preserve">   </w:t>
      </w:r>
      <w:r>
        <w:rPr>
          <w:rFonts w:hint="eastAsia"/>
          <w:color w:val="auto"/>
        </w:rPr>
        <w:t xml:space="preserve"> 月 </w:t>
      </w:r>
      <w:r>
        <w:rPr>
          <w:color w:val="auto"/>
        </w:rPr>
        <w:t xml:space="preserve">   </w:t>
      </w:r>
      <w:r>
        <w:rPr>
          <w:rFonts w:hint="eastAsia"/>
          <w:color w:val="auto"/>
        </w:rPr>
        <w:t xml:space="preserve">  日</w:t>
      </w:r>
    </w:p>
    <w:p w14:paraId="241CEEB0">
      <w:pPr>
        <w:rPr>
          <w:color w:val="auto"/>
        </w:rPr>
      </w:pPr>
    </w:p>
    <w:p w14:paraId="04FDA06C">
      <w:pPr>
        <w:rPr>
          <w:color w:val="auto"/>
        </w:rPr>
      </w:pPr>
      <w:r>
        <w:rPr>
          <w:color w:val="auto"/>
        </w:rPr>
        <w:br w:type="page"/>
      </w:r>
    </w:p>
    <w:p w14:paraId="10FFF17B">
      <w:pPr>
        <w:jc w:val="center"/>
        <w:rPr>
          <w:color w:val="auto"/>
          <w:sz w:val="32"/>
          <w:szCs w:val="32"/>
        </w:rPr>
      </w:pPr>
      <w:r>
        <w:rPr>
          <w:rFonts w:hint="eastAsia"/>
          <w:color w:val="auto"/>
          <w:sz w:val="32"/>
          <w:szCs w:val="32"/>
        </w:rPr>
        <w:t>售后服务承诺函</w:t>
      </w:r>
    </w:p>
    <w:p w14:paraId="45DFAF89">
      <w:pPr>
        <w:rPr>
          <w:color w:val="auto"/>
        </w:rPr>
      </w:pPr>
    </w:p>
    <w:p w14:paraId="315DE8EC">
      <w:pPr>
        <w:rPr>
          <w:color w:val="auto"/>
        </w:rPr>
      </w:pPr>
      <w:r>
        <w:rPr>
          <w:rFonts w:hint="eastAsia"/>
          <w:color w:val="auto"/>
        </w:rPr>
        <w:t>（主要描述的内容包括但不限于：售后培训、集中或零星二次开发、本需求之外其他需求的开发、合同期内账号的使用权限问题和合同期外账号的使用权限问题等）</w:t>
      </w:r>
    </w:p>
    <w:p w14:paraId="7ABD6A84">
      <w:pPr>
        <w:rPr>
          <w:color w:val="auto"/>
        </w:rPr>
      </w:pPr>
    </w:p>
    <w:p w14:paraId="4FAC406A">
      <w:pPr>
        <w:rPr>
          <w:color w:val="auto"/>
        </w:rPr>
      </w:pPr>
    </w:p>
    <w:p w14:paraId="1E300318">
      <w:pPr>
        <w:rPr>
          <w:color w:val="auto"/>
        </w:rPr>
      </w:pPr>
    </w:p>
    <w:p w14:paraId="32F3685E">
      <w:pPr>
        <w:rPr>
          <w:color w:val="auto"/>
        </w:rPr>
      </w:pPr>
    </w:p>
    <w:p w14:paraId="3EF79DEA">
      <w:pPr>
        <w:rPr>
          <w:color w:val="auto"/>
        </w:rPr>
      </w:pPr>
    </w:p>
    <w:p w14:paraId="3C71E397">
      <w:pPr>
        <w:rPr>
          <w:color w:val="auto"/>
        </w:rPr>
      </w:pPr>
    </w:p>
    <w:p w14:paraId="7834D991">
      <w:pPr>
        <w:rPr>
          <w:color w:val="auto"/>
        </w:rPr>
      </w:pPr>
    </w:p>
    <w:p w14:paraId="1E8B74FB">
      <w:pPr>
        <w:rPr>
          <w:color w:val="auto"/>
        </w:rPr>
      </w:pPr>
    </w:p>
    <w:p w14:paraId="67138AD6">
      <w:pPr>
        <w:rPr>
          <w:color w:val="auto"/>
        </w:rPr>
      </w:pPr>
    </w:p>
    <w:p w14:paraId="73C222C8">
      <w:pPr>
        <w:rPr>
          <w:color w:val="auto"/>
        </w:rPr>
      </w:pPr>
    </w:p>
    <w:p w14:paraId="79BD5A33">
      <w:pPr>
        <w:rPr>
          <w:color w:val="auto"/>
        </w:rPr>
      </w:pPr>
    </w:p>
    <w:p w14:paraId="703A46FE">
      <w:pPr>
        <w:rPr>
          <w:color w:val="auto"/>
        </w:rPr>
      </w:pPr>
    </w:p>
    <w:p w14:paraId="06C270D8">
      <w:pPr>
        <w:rPr>
          <w:color w:val="auto"/>
        </w:rPr>
      </w:pPr>
    </w:p>
    <w:p w14:paraId="6C6FB79A">
      <w:pPr>
        <w:rPr>
          <w:color w:val="auto"/>
        </w:rPr>
      </w:pPr>
    </w:p>
    <w:p w14:paraId="14E38470">
      <w:pPr>
        <w:rPr>
          <w:color w:val="auto"/>
        </w:rPr>
      </w:pPr>
    </w:p>
    <w:p w14:paraId="775C68F8">
      <w:pPr>
        <w:jc w:val="center"/>
        <w:rPr>
          <w:color w:val="auto"/>
          <w:sz w:val="32"/>
          <w:szCs w:val="32"/>
        </w:rPr>
      </w:pPr>
      <w:r>
        <w:rPr>
          <w:rFonts w:hint="eastAsia"/>
          <w:color w:val="auto"/>
          <w:sz w:val="32"/>
          <w:szCs w:val="32"/>
        </w:rPr>
        <w:t>安全保密承诺函</w:t>
      </w:r>
    </w:p>
    <w:p w14:paraId="2F33D959">
      <w:pPr>
        <w:rPr>
          <w:color w:val="auto"/>
        </w:rPr>
      </w:pPr>
    </w:p>
    <w:p w14:paraId="7325EA7E">
      <w:pPr>
        <w:rPr>
          <w:color w:val="auto"/>
        </w:rPr>
      </w:pPr>
    </w:p>
    <w:p w14:paraId="10A1E8B3">
      <w:pPr>
        <w:rPr>
          <w:color w:val="auto"/>
        </w:rPr>
      </w:pPr>
    </w:p>
    <w:p w14:paraId="2E68D77F">
      <w:pPr>
        <w:rPr>
          <w:color w:val="auto"/>
        </w:rPr>
      </w:pPr>
    </w:p>
    <w:p w14:paraId="071FED05">
      <w:pPr>
        <w:rPr>
          <w:color w:val="auto"/>
        </w:rPr>
      </w:pPr>
    </w:p>
    <w:p w14:paraId="6ED49009">
      <w:pPr>
        <w:rPr>
          <w:color w:val="auto"/>
        </w:rPr>
      </w:pPr>
    </w:p>
    <w:p w14:paraId="6BA6A473">
      <w:pPr>
        <w:rPr>
          <w:color w:val="auto"/>
        </w:rPr>
      </w:pPr>
    </w:p>
    <w:p w14:paraId="72FFC14A">
      <w:pPr>
        <w:rPr>
          <w:color w:val="auto"/>
        </w:rPr>
      </w:pPr>
    </w:p>
    <w:p w14:paraId="58A73B47">
      <w:pPr>
        <w:rPr>
          <w:color w:val="auto"/>
        </w:rPr>
      </w:pPr>
    </w:p>
    <w:p w14:paraId="2299F553">
      <w:pPr>
        <w:rPr>
          <w:color w:val="auto"/>
        </w:rPr>
      </w:pPr>
    </w:p>
    <w:p w14:paraId="07654586">
      <w:pPr>
        <w:rPr>
          <w:color w:val="auto"/>
        </w:rPr>
      </w:pPr>
    </w:p>
    <w:p w14:paraId="6AAFD5FB">
      <w:pPr>
        <w:jc w:val="center"/>
        <w:rPr>
          <w:color w:val="auto"/>
        </w:rPr>
      </w:pPr>
      <w:r>
        <w:rPr>
          <w:rFonts w:hint="eastAsia"/>
          <w:color w:val="auto"/>
          <w:sz w:val="32"/>
          <w:szCs w:val="32"/>
        </w:rPr>
        <w:t>无严重违法、不良信用记录声明函</w:t>
      </w:r>
    </w:p>
    <w:p w14:paraId="76B0EFC6">
      <w:pPr>
        <w:rPr>
          <w:color w:val="auto"/>
        </w:rPr>
      </w:pPr>
    </w:p>
    <w:p w14:paraId="7CEB66DA">
      <w:pPr>
        <w:rPr>
          <w:color w:val="auto"/>
        </w:rPr>
      </w:pPr>
      <w:r>
        <w:rPr>
          <w:rFonts w:hint="eastAsia"/>
          <w:color w:val="auto"/>
        </w:rPr>
        <w:t xml:space="preserve">南京大学后勤服务集团物业中心：                    </w:t>
      </w:r>
    </w:p>
    <w:p w14:paraId="6DD5B6FF">
      <w:pPr>
        <w:rPr>
          <w:color w:val="auto"/>
        </w:rPr>
      </w:pPr>
      <w:r>
        <w:rPr>
          <w:rFonts w:hint="eastAsia"/>
          <w:color w:val="auto"/>
        </w:rPr>
        <w:t>我公司近三年内，在经营活动中没有重大违法记录，没有因违法经营受到刑事处罚或者责令停产停业、吊销许可证或者执照、较大数额罚款等行政处罚，也没有政府采购严重违法失信行为信息记录。</w:t>
      </w:r>
    </w:p>
    <w:p w14:paraId="64D30F67">
      <w:pPr>
        <w:rPr>
          <w:color w:val="auto"/>
        </w:rPr>
      </w:pPr>
      <w:r>
        <w:rPr>
          <w:rFonts w:hint="eastAsia"/>
          <w:color w:val="auto"/>
        </w:rPr>
        <w:t>我公司对上述声明的真实性负责。如有虚假，将依法承担相应责任。</w:t>
      </w:r>
    </w:p>
    <w:p w14:paraId="1002CDDE">
      <w:pPr>
        <w:rPr>
          <w:color w:val="auto"/>
        </w:rPr>
      </w:pPr>
      <w:r>
        <w:rPr>
          <w:rFonts w:hint="eastAsia"/>
          <w:color w:val="auto"/>
        </w:rPr>
        <w:t>附件1：“信用中国”网站（www.creditchina.gov.cn）查询记录截图：</w:t>
      </w:r>
    </w:p>
    <w:p w14:paraId="56A08341">
      <w:pPr>
        <w:rPr>
          <w:color w:val="auto"/>
        </w:rPr>
      </w:pPr>
    </w:p>
    <w:p w14:paraId="66D84AFF">
      <w:pPr>
        <w:rPr>
          <w:color w:val="auto"/>
        </w:rPr>
      </w:pPr>
    </w:p>
    <w:p w14:paraId="12C2188B">
      <w:pPr>
        <w:rPr>
          <w:color w:val="auto"/>
        </w:rPr>
      </w:pPr>
    </w:p>
    <w:p w14:paraId="3B34424C">
      <w:pPr>
        <w:rPr>
          <w:color w:val="auto"/>
        </w:rPr>
      </w:pPr>
    </w:p>
    <w:p w14:paraId="7D4C18C1">
      <w:pPr>
        <w:rPr>
          <w:color w:val="auto"/>
        </w:rPr>
      </w:pPr>
      <w:r>
        <w:rPr>
          <w:rFonts w:hint="eastAsia"/>
          <w:color w:val="auto"/>
        </w:rPr>
        <w:t>附件2：</w:t>
      </w:r>
    </w:p>
    <w:p w14:paraId="1CA5B9C0">
      <w:pPr>
        <w:jc w:val="center"/>
        <w:rPr>
          <w:color w:val="auto"/>
          <w:sz w:val="32"/>
          <w:szCs w:val="32"/>
        </w:rPr>
      </w:pPr>
      <w:r>
        <w:rPr>
          <w:rFonts w:hint="eastAsia"/>
          <w:color w:val="auto"/>
          <w:sz w:val="32"/>
          <w:szCs w:val="32"/>
        </w:rPr>
        <w:t>“中国政府采购网”（www.ccgp.gov.cn）查询记录截图：</w:t>
      </w:r>
    </w:p>
    <w:p w14:paraId="1CD3CC6D">
      <w:pPr>
        <w:rPr>
          <w:color w:val="auto"/>
        </w:rPr>
      </w:pPr>
      <w:r>
        <w:rPr>
          <w:rFonts w:hint="eastAsia"/>
          <w:color w:val="auto"/>
        </w:rPr>
        <w:t xml:space="preserve"> </w:t>
      </w:r>
      <w:r>
        <w:rPr>
          <w:color w:val="auto"/>
        </w:rPr>
        <w:t xml:space="preserve">   </w:t>
      </w:r>
    </w:p>
    <w:p w14:paraId="045624A1">
      <w:pPr>
        <w:rPr>
          <w:color w:val="auto"/>
        </w:rPr>
      </w:pPr>
      <w:r>
        <w:rPr>
          <w:rFonts w:hint="eastAsia"/>
          <w:color w:val="auto"/>
        </w:rPr>
        <w:t xml:space="preserve"> </w:t>
      </w:r>
      <w:r>
        <w:rPr>
          <w:color w:val="auto"/>
        </w:rPr>
        <w:t xml:space="preserve">   </w:t>
      </w:r>
    </w:p>
    <w:p w14:paraId="77C7DC59">
      <w:pPr>
        <w:rPr>
          <w:color w:val="auto"/>
        </w:rPr>
      </w:pPr>
      <w:r>
        <w:rPr>
          <w:rFonts w:hint="eastAsia"/>
          <w:color w:val="auto"/>
        </w:rPr>
        <w:t xml:space="preserve"> </w:t>
      </w:r>
      <w:r>
        <w:rPr>
          <w:color w:val="auto"/>
        </w:rPr>
        <w:t xml:space="preserve">   </w:t>
      </w:r>
    </w:p>
    <w:p w14:paraId="495D3473">
      <w:pPr>
        <w:rPr>
          <w:color w:val="auto"/>
        </w:rPr>
      </w:pPr>
      <w:r>
        <w:rPr>
          <w:rFonts w:hint="eastAsia"/>
          <w:color w:val="auto"/>
        </w:rPr>
        <w:t xml:space="preserve"> </w:t>
      </w:r>
      <w:r>
        <w:rPr>
          <w:color w:val="auto"/>
        </w:rPr>
        <w:t xml:space="preserve">   </w:t>
      </w:r>
    </w:p>
    <w:p w14:paraId="17B1EBD5">
      <w:pPr>
        <w:rPr>
          <w:color w:val="auto"/>
        </w:rPr>
      </w:pPr>
      <w:r>
        <w:rPr>
          <w:rFonts w:hint="eastAsia"/>
          <w:color w:val="auto"/>
        </w:rPr>
        <w:t xml:space="preserve"> </w:t>
      </w:r>
      <w:r>
        <w:rPr>
          <w:color w:val="auto"/>
        </w:rPr>
        <w:t xml:space="preserve">   </w:t>
      </w:r>
    </w:p>
    <w:p w14:paraId="1E69FD21">
      <w:pPr>
        <w:rPr>
          <w:color w:val="auto"/>
        </w:rPr>
      </w:pPr>
    </w:p>
    <w:p w14:paraId="77A0C7E0">
      <w:pPr>
        <w:rPr>
          <w:color w:val="auto"/>
        </w:rPr>
      </w:pPr>
    </w:p>
    <w:p w14:paraId="7D6A6F21">
      <w:pPr>
        <w:rPr>
          <w:color w:val="auto"/>
        </w:rPr>
      </w:pPr>
    </w:p>
    <w:p w14:paraId="7911AEA5">
      <w:pPr>
        <w:rPr>
          <w:color w:val="auto"/>
        </w:rPr>
      </w:pPr>
    </w:p>
    <w:p w14:paraId="0163FA0D">
      <w:pPr>
        <w:rPr>
          <w:color w:val="auto"/>
        </w:rPr>
      </w:pPr>
    </w:p>
    <w:p w14:paraId="0AAB9C3A">
      <w:pPr>
        <w:rPr>
          <w:color w:val="auto"/>
        </w:rPr>
      </w:pPr>
    </w:p>
    <w:p w14:paraId="1FB10BDE">
      <w:pPr>
        <w:rPr>
          <w:color w:val="auto"/>
        </w:rPr>
      </w:pPr>
      <w:r>
        <w:rPr>
          <w:rFonts w:hint="eastAsia"/>
          <w:color w:val="auto"/>
        </w:rPr>
        <w:t xml:space="preserve"> </w:t>
      </w:r>
      <w:r>
        <w:rPr>
          <w:color w:val="auto"/>
        </w:rPr>
        <w:t xml:space="preserve">   </w:t>
      </w:r>
    </w:p>
    <w:p w14:paraId="6621140B">
      <w:pPr>
        <w:rPr>
          <w:color w:val="auto"/>
        </w:rPr>
      </w:pPr>
    </w:p>
    <w:p w14:paraId="1E0AE661">
      <w:pPr>
        <w:rPr>
          <w:color w:val="auto"/>
        </w:rPr>
      </w:pPr>
    </w:p>
    <w:p w14:paraId="2334DECC">
      <w:pPr>
        <w:rPr>
          <w:color w:val="auto"/>
        </w:rPr>
      </w:pPr>
    </w:p>
    <w:p w14:paraId="3E53FD7E">
      <w:pPr>
        <w:rPr>
          <w:color w:val="auto"/>
        </w:rPr>
      </w:pPr>
      <w:r>
        <w:rPr>
          <w:rFonts w:hint="eastAsia"/>
          <w:color w:val="auto"/>
        </w:rPr>
        <w:t xml:space="preserve">供应商（盖章）：                                             </w:t>
      </w:r>
    </w:p>
    <w:p w14:paraId="3730AC42">
      <w:pPr>
        <w:rPr>
          <w:color w:val="auto"/>
        </w:rPr>
      </w:pPr>
      <w:r>
        <w:rPr>
          <w:rFonts w:hint="eastAsia"/>
          <w:color w:val="auto"/>
        </w:rPr>
        <w:t xml:space="preserve">法定代表人或授权代表（签字）：         </w:t>
      </w:r>
      <w:r>
        <w:rPr>
          <w:color w:val="auto"/>
        </w:rPr>
        <w:t xml:space="preserve">  </w:t>
      </w:r>
      <w:r>
        <w:rPr>
          <w:rFonts w:hint="eastAsia"/>
          <w:color w:val="auto"/>
        </w:rPr>
        <w:t xml:space="preserve">                    </w:t>
      </w:r>
    </w:p>
    <w:p w14:paraId="614D1F84">
      <w:pPr>
        <w:rPr>
          <w:color w:val="auto"/>
        </w:rPr>
      </w:pPr>
      <w:r>
        <w:rPr>
          <w:rFonts w:hint="eastAsia"/>
          <w:color w:val="auto"/>
        </w:rPr>
        <w:t xml:space="preserve">日  期：2025年  </w:t>
      </w:r>
      <w:r>
        <w:rPr>
          <w:color w:val="auto"/>
        </w:rPr>
        <w:t xml:space="preserve">   </w:t>
      </w:r>
      <w:r>
        <w:rPr>
          <w:rFonts w:hint="eastAsia"/>
          <w:color w:val="auto"/>
        </w:rPr>
        <w:t xml:space="preserve"> 月 </w:t>
      </w:r>
      <w:r>
        <w:rPr>
          <w:color w:val="auto"/>
        </w:rPr>
        <w:t xml:space="preserve">   </w:t>
      </w:r>
      <w:r>
        <w:rPr>
          <w:rFonts w:hint="eastAsia"/>
          <w:color w:val="auto"/>
        </w:rPr>
        <w:t xml:space="preserve">  日</w:t>
      </w:r>
    </w:p>
    <w:p w14:paraId="66BEE5FD">
      <w:pPr>
        <w:rPr>
          <w:color w:val="auto"/>
        </w:rPr>
      </w:pPr>
    </w:p>
    <w:p w14:paraId="448A0F59">
      <w:pPr>
        <w:jc w:val="center"/>
        <w:rPr>
          <w:color w:val="auto"/>
        </w:rPr>
      </w:pPr>
      <w:r>
        <w:rPr>
          <w:color w:val="auto"/>
        </w:rPr>
        <w:br w:type="page"/>
      </w:r>
      <w:r>
        <w:rPr>
          <w:rFonts w:hint="eastAsia"/>
          <w:color w:val="auto"/>
          <w:sz w:val="32"/>
          <w:szCs w:val="32"/>
        </w:rPr>
        <w:t>法定代表人授权委托书</w:t>
      </w:r>
    </w:p>
    <w:p w14:paraId="40CC3F71">
      <w:pPr>
        <w:rPr>
          <w:color w:val="auto"/>
        </w:rPr>
      </w:pPr>
    </w:p>
    <w:p w14:paraId="7F7BAD82">
      <w:pPr>
        <w:rPr>
          <w:color w:val="auto"/>
        </w:rPr>
      </w:pPr>
      <w:r>
        <w:rPr>
          <w:rFonts w:hint="eastAsia"/>
          <w:color w:val="auto"/>
        </w:rPr>
        <w:t xml:space="preserve">项目编号：                     </w:t>
      </w:r>
    </w:p>
    <w:p w14:paraId="46BC4ECF">
      <w:pPr>
        <w:rPr>
          <w:color w:val="auto"/>
        </w:rPr>
      </w:pPr>
      <w:r>
        <w:rPr>
          <w:rFonts w:hint="eastAsia"/>
          <w:color w:val="auto"/>
        </w:rPr>
        <w:t>日    期：2025年      月     日</w:t>
      </w:r>
    </w:p>
    <w:p w14:paraId="41283B55">
      <w:pPr>
        <w:rPr>
          <w:color w:val="auto"/>
        </w:rPr>
      </w:pPr>
    </w:p>
    <w:p w14:paraId="3F790771">
      <w:pPr>
        <w:rPr>
          <w:color w:val="auto"/>
        </w:rPr>
      </w:pPr>
      <w:r>
        <w:rPr>
          <w:rFonts w:hint="eastAsia"/>
          <w:color w:val="auto"/>
        </w:rPr>
        <w:t>南京大学后勤服务集团物业中心：</w:t>
      </w:r>
    </w:p>
    <w:p w14:paraId="211F528B">
      <w:pPr>
        <w:rPr>
          <w:color w:val="auto"/>
        </w:rPr>
      </w:pPr>
      <w:r>
        <w:rPr>
          <w:rFonts w:hint="eastAsia"/>
          <w:color w:val="auto"/>
        </w:rPr>
        <w:t xml:space="preserve">本人     </w:t>
      </w:r>
      <w:r>
        <w:rPr>
          <w:color w:val="auto"/>
        </w:rPr>
        <w:t xml:space="preserve"> </w:t>
      </w:r>
      <w:r>
        <w:rPr>
          <w:rFonts w:hint="eastAsia"/>
          <w:color w:val="auto"/>
        </w:rPr>
        <w:t xml:space="preserve"> </w:t>
      </w:r>
      <w:r>
        <w:rPr>
          <w:color w:val="auto"/>
        </w:rPr>
        <w:t xml:space="preserve"> </w:t>
      </w:r>
      <w:r>
        <w:rPr>
          <w:rFonts w:hint="eastAsia"/>
          <w:color w:val="auto"/>
        </w:rPr>
        <w:t xml:space="preserve">  ，系            </w:t>
      </w:r>
      <w:r>
        <w:rPr>
          <w:color w:val="auto"/>
        </w:rPr>
        <w:t xml:space="preserve">  </w:t>
      </w:r>
      <w:r>
        <w:rPr>
          <w:rFonts w:hint="eastAsia"/>
          <w:color w:val="auto"/>
        </w:rPr>
        <w:t xml:space="preserve">           （供应商名称）的法定代表人，现授权委托                   （身份证号： </w:t>
      </w:r>
      <w:r>
        <w:rPr>
          <w:color w:val="auto"/>
        </w:rPr>
        <w:t xml:space="preserve">                       </w:t>
      </w:r>
      <w:r>
        <w:rPr>
          <w:rFonts w:hint="eastAsia"/>
          <w:color w:val="auto"/>
        </w:rPr>
        <w:t xml:space="preserve">）为我公司代理人，参加南京大学 </w:t>
      </w:r>
      <w:r>
        <w:rPr>
          <w:color w:val="auto"/>
        </w:rPr>
        <w:t xml:space="preserve">               </w:t>
      </w:r>
      <w:r>
        <w:rPr>
          <w:rFonts w:hint="eastAsia"/>
          <w:color w:val="auto"/>
        </w:rPr>
        <w:t>项目的采购活动。</w:t>
      </w:r>
    </w:p>
    <w:p w14:paraId="49AE65D4">
      <w:pPr>
        <w:rPr>
          <w:color w:val="auto"/>
        </w:rPr>
      </w:pPr>
      <w:r>
        <w:rPr>
          <w:rFonts w:hint="eastAsia"/>
          <w:color w:val="auto"/>
        </w:rPr>
        <w:t>代理人在采购过程中所签署的一切文件和处理与之有关的一切事务，我公司均予以承认。</w:t>
      </w:r>
    </w:p>
    <w:p w14:paraId="42854CDC">
      <w:pPr>
        <w:rPr>
          <w:color w:val="auto"/>
        </w:rPr>
      </w:pPr>
      <w:r>
        <w:rPr>
          <w:rFonts w:hint="eastAsia"/>
          <w:color w:val="auto"/>
        </w:rPr>
        <w:t>在撤消授权的书面通知以前，本授权书一直有效。代理人在授权书有效期内签署的所有文件不因授权的撤消而失效。本授权书的有效期自采购开始 至合同履行完毕止。</w:t>
      </w:r>
    </w:p>
    <w:p w14:paraId="0EE25B68">
      <w:pPr>
        <w:rPr>
          <w:color w:val="auto"/>
        </w:rPr>
      </w:pPr>
      <w:r>
        <w:rPr>
          <w:rFonts w:hint="eastAsia"/>
          <w:color w:val="auto"/>
        </w:rPr>
        <w:t>代理人无转委权。特此委托。</w:t>
      </w:r>
    </w:p>
    <w:p w14:paraId="1CD96333">
      <w:pPr>
        <w:rPr>
          <w:color w:val="auto"/>
        </w:rPr>
      </w:pPr>
    </w:p>
    <w:p w14:paraId="5ABF5AC4">
      <w:pPr>
        <w:rPr>
          <w:color w:val="auto"/>
        </w:rPr>
      </w:pPr>
      <w:r>
        <w:rPr>
          <w:rFonts w:hint="eastAsia"/>
          <w:color w:val="auto"/>
        </w:rPr>
        <w:t xml:space="preserve">法定代表人（签章）：                       </w:t>
      </w:r>
      <w:r>
        <w:rPr>
          <w:color w:val="auto"/>
        </w:rPr>
        <w:t xml:space="preserve">         </w:t>
      </w:r>
    </w:p>
    <w:p w14:paraId="7A09F6BA">
      <w:pPr>
        <w:rPr>
          <w:color w:val="auto"/>
        </w:rPr>
      </w:pPr>
      <w:r>
        <w:rPr>
          <w:rFonts w:hint="eastAsia"/>
          <w:color w:val="auto"/>
        </w:rPr>
        <w:t xml:space="preserve">授权代表（签字）：                       </w:t>
      </w:r>
      <w:r>
        <w:rPr>
          <w:color w:val="auto"/>
        </w:rPr>
        <w:t xml:space="preserve">        </w:t>
      </w:r>
      <w:r>
        <w:rPr>
          <w:rFonts w:hint="eastAsia"/>
          <w:color w:val="auto"/>
        </w:rPr>
        <w:t xml:space="preserve"> </w:t>
      </w:r>
    </w:p>
    <w:p w14:paraId="6B4B427E">
      <w:pPr>
        <w:rPr>
          <w:color w:val="auto"/>
        </w:rPr>
      </w:pPr>
      <w:r>
        <w:rPr>
          <w:rFonts w:hint="eastAsia"/>
          <w:color w:val="auto"/>
        </w:rPr>
        <w:t xml:space="preserve">供应商（盖章）：                        </w:t>
      </w:r>
      <w:r>
        <w:rPr>
          <w:color w:val="auto"/>
        </w:rPr>
        <w:t xml:space="preserve">       </w:t>
      </w:r>
      <w:r>
        <w:rPr>
          <w:rFonts w:hint="eastAsia"/>
          <w:color w:val="auto"/>
        </w:rPr>
        <w:t xml:space="preserve"> </w:t>
      </w:r>
    </w:p>
    <w:p w14:paraId="4142BE9B">
      <w:pPr>
        <w:rPr>
          <w:color w:val="auto"/>
        </w:rPr>
      </w:pPr>
      <w:r>
        <w:rPr>
          <w:rFonts w:hint="eastAsia"/>
          <w:color w:val="auto"/>
        </w:rPr>
        <w:t xml:space="preserve">日期：2025年    </w:t>
      </w:r>
      <w:r>
        <w:rPr>
          <w:color w:val="auto"/>
        </w:rPr>
        <w:t xml:space="preserve">        </w:t>
      </w:r>
      <w:r>
        <w:rPr>
          <w:rFonts w:hint="eastAsia"/>
          <w:color w:val="auto"/>
        </w:rPr>
        <w:t xml:space="preserve">月  </w:t>
      </w:r>
      <w:r>
        <w:rPr>
          <w:color w:val="auto"/>
        </w:rPr>
        <w:t xml:space="preserve">        </w:t>
      </w:r>
      <w:r>
        <w:rPr>
          <w:rFonts w:hint="eastAsia"/>
          <w:color w:val="auto"/>
        </w:rPr>
        <w:t>日</w:t>
      </w:r>
    </w:p>
    <w:p w14:paraId="38970A43">
      <w:pPr>
        <w:rPr>
          <w:color w:val="auto"/>
        </w:rPr>
      </w:pPr>
    </w:p>
    <w:p w14:paraId="157190E6">
      <w:pPr>
        <w:rPr>
          <w:color w:val="auto"/>
        </w:rPr>
      </w:pPr>
    </w:p>
    <w:p w14:paraId="40D071E4">
      <w:pPr>
        <w:rPr>
          <w:color w:val="auto"/>
        </w:rPr>
      </w:pPr>
      <w:r>
        <w:rPr>
          <w:color w:val="auto"/>
        </w:rPr>
        <w:br w:type="page"/>
      </w:r>
    </w:p>
    <w:p w14:paraId="09C3977F">
      <w:pPr>
        <w:jc w:val="center"/>
        <w:rPr>
          <w:color w:val="auto"/>
          <w:sz w:val="32"/>
          <w:szCs w:val="32"/>
        </w:rPr>
      </w:pPr>
      <w:r>
        <w:rPr>
          <w:rFonts w:hint="eastAsia"/>
          <w:color w:val="auto"/>
          <w:sz w:val="32"/>
          <w:szCs w:val="32"/>
        </w:rPr>
        <w:t>报价一览表</w:t>
      </w:r>
    </w:p>
    <w:p w14:paraId="15A4E48F">
      <w:pPr>
        <w:rPr>
          <w:color w:val="auto"/>
        </w:rPr>
      </w:pPr>
    </w:p>
    <w:p w14:paraId="2F97AA05">
      <w:pPr>
        <w:rPr>
          <w:color w:val="auto"/>
        </w:rPr>
      </w:pPr>
      <w:r>
        <w:rPr>
          <w:rFonts w:hint="eastAsia"/>
          <w:color w:val="auto"/>
        </w:rPr>
        <w:t>项目名称：</w:t>
      </w:r>
      <w:r>
        <w:rPr>
          <w:color w:val="auto"/>
        </w:rPr>
        <w:t xml:space="preserve">                                                </w:t>
      </w:r>
    </w:p>
    <w:p w14:paraId="68625536">
      <w:pPr>
        <w:rPr>
          <w:color w:val="auto"/>
        </w:rPr>
      </w:pPr>
      <w:r>
        <w:rPr>
          <w:rFonts w:hint="eastAsia"/>
          <w:color w:val="auto"/>
        </w:rPr>
        <w:t xml:space="preserve">项目编号：                                    </w:t>
      </w:r>
      <w:r>
        <w:rPr>
          <w:color w:val="auto"/>
        </w:rPr>
        <w:t xml:space="preserve">            </w:t>
      </w:r>
      <w:r>
        <w:rPr>
          <w:rFonts w:hint="eastAsia"/>
          <w:color w:val="auto"/>
        </w:rPr>
        <w:t xml:space="preserve"> </w:t>
      </w:r>
    </w:p>
    <w:p w14:paraId="1F6BD8D4">
      <w:pPr>
        <w:rPr>
          <w:color w:val="auto"/>
        </w:rPr>
      </w:pPr>
    </w:p>
    <w:p w14:paraId="0769F930">
      <w:pPr>
        <w:rPr>
          <w:color w:val="auto"/>
        </w:rPr>
      </w:pPr>
    </w:p>
    <w:p w14:paraId="07895472">
      <w:pPr>
        <w:rPr>
          <w:color w:val="auto"/>
        </w:rPr>
      </w:pPr>
      <w:r>
        <w:rPr>
          <w:rFonts w:hint="eastAsia"/>
          <w:color w:val="auto"/>
        </w:rPr>
        <w:t xml:space="preserve">总价（大写）：                          </w:t>
      </w:r>
    </w:p>
    <w:p w14:paraId="3A79611F">
      <w:pPr>
        <w:rPr>
          <w:color w:val="auto"/>
        </w:rPr>
      </w:pPr>
      <w:r>
        <w:rPr>
          <w:rFonts w:hint="eastAsia"/>
          <w:color w:val="auto"/>
        </w:rPr>
        <w:t xml:space="preserve">（小写）：                          </w:t>
      </w:r>
    </w:p>
    <w:p w14:paraId="5D8FB595">
      <w:pPr>
        <w:rPr>
          <w:color w:val="auto"/>
        </w:rPr>
      </w:pPr>
    </w:p>
    <w:p w14:paraId="6D35EE5E">
      <w:pPr>
        <w:rPr>
          <w:color w:val="auto"/>
        </w:rPr>
      </w:pPr>
    </w:p>
    <w:p w14:paraId="490672CD">
      <w:pPr>
        <w:rPr>
          <w:color w:val="auto"/>
        </w:rPr>
      </w:pPr>
    </w:p>
    <w:p w14:paraId="176EF69F">
      <w:pPr>
        <w:rPr>
          <w:color w:val="auto"/>
        </w:rPr>
      </w:pPr>
      <w:r>
        <w:rPr>
          <w:rFonts w:hint="eastAsia"/>
          <w:color w:val="auto"/>
        </w:rPr>
        <w:t xml:space="preserve">供 应 商（公章）：                                    </w:t>
      </w:r>
      <w:r>
        <w:rPr>
          <w:color w:val="auto"/>
        </w:rPr>
        <w:t xml:space="preserve">  </w:t>
      </w:r>
    </w:p>
    <w:p w14:paraId="16F7E491">
      <w:pPr>
        <w:rPr>
          <w:color w:val="auto"/>
        </w:rPr>
      </w:pPr>
      <w:r>
        <w:rPr>
          <w:rFonts w:hint="eastAsia"/>
          <w:color w:val="auto"/>
        </w:rPr>
        <w:t xml:space="preserve">授权代表（签字）：                                     </w:t>
      </w:r>
      <w:r>
        <w:rPr>
          <w:color w:val="auto"/>
        </w:rPr>
        <w:t xml:space="preserve"> </w:t>
      </w:r>
    </w:p>
    <w:p w14:paraId="3F0847FF">
      <w:pPr>
        <w:rPr>
          <w:color w:val="auto"/>
        </w:rPr>
      </w:pPr>
      <w:r>
        <w:rPr>
          <w:rFonts w:hint="eastAsia"/>
          <w:color w:val="auto"/>
        </w:rPr>
        <w:t xml:space="preserve">日   </w:t>
      </w:r>
      <w:r>
        <w:rPr>
          <w:color w:val="auto"/>
        </w:rPr>
        <w:t xml:space="preserve">  </w:t>
      </w:r>
      <w:r>
        <w:rPr>
          <w:rFonts w:hint="eastAsia"/>
          <w:color w:val="auto"/>
        </w:rPr>
        <w:t xml:space="preserve">  </w:t>
      </w:r>
      <w:r>
        <w:rPr>
          <w:color w:val="auto"/>
        </w:rPr>
        <w:t xml:space="preserve"> </w:t>
      </w:r>
      <w:r>
        <w:rPr>
          <w:rFonts w:hint="eastAsia"/>
          <w:color w:val="auto"/>
        </w:rPr>
        <w:t xml:space="preserve">    期：2025年   月   日</w:t>
      </w:r>
    </w:p>
    <w:p w14:paraId="3BBED9C1">
      <w:pPr>
        <w:rPr>
          <w:color w:val="auto"/>
        </w:rPr>
      </w:pPr>
    </w:p>
    <w:p w14:paraId="23B48BF8">
      <w:pPr>
        <w:rPr>
          <w:color w:val="auto"/>
        </w:rPr>
      </w:pPr>
    </w:p>
    <w:p w14:paraId="606A6E2D">
      <w:pPr>
        <w:rPr>
          <w:color w:val="auto"/>
        </w:rPr>
      </w:pPr>
      <w:r>
        <w:rPr>
          <w:rFonts w:hint="eastAsia"/>
          <w:color w:val="auto"/>
        </w:rPr>
        <w:t>注：</w:t>
      </w:r>
    </w:p>
    <w:p w14:paraId="6E11A051">
      <w:pPr>
        <w:rPr>
          <w:color w:val="auto"/>
        </w:rPr>
      </w:pPr>
      <w:r>
        <w:rPr>
          <w:rFonts w:hint="eastAsia"/>
          <w:color w:val="auto"/>
        </w:rPr>
        <w:t>(1)供应商请自行添加报价明细表，明确价格组成；</w:t>
      </w:r>
    </w:p>
    <w:p w14:paraId="354039D0">
      <w:pPr>
        <w:rPr>
          <w:color w:val="auto"/>
        </w:rPr>
      </w:pPr>
      <w:r>
        <w:rPr>
          <w:rFonts w:hint="eastAsia"/>
          <w:color w:val="auto"/>
        </w:rPr>
        <w:t>(2)报价明细表须包括但不限于产品清单中各分项详细报价。</w:t>
      </w:r>
    </w:p>
    <w:p w14:paraId="7BF6BA19">
      <w:pPr>
        <w:rPr>
          <w:color w:val="auto"/>
        </w:rPr>
      </w:pPr>
      <w:r>
        <w:rPr>
          <w:color w:val="auto"/>
        </w:rPr>
        <w:br w:type="page"/>
      </w:r>
    </w:p>
    <w:p w14:paraId="434E539B">
      <w:pPr>
        <w:jc w:val="center"/>
        <w:rPr>
          <w:color w:val="auto"/>
          <w:sz w:val="32"/>
          <w:szCs w:val="32"/>
        </w:rPr>
      </w:pPr>
      <w:r>
        <w:rPr>
          <w:rFonts w:hint="eastAsia"/>
          <w:color w:val="auto"/>
          <w:sz w:val="32"/>
          <w:szCs w:val="32"/>
        </w:rPr>
        <w:t>商务条款响应表</w:t>
      </w:r>
    </w:p>
    <w:p w14:paraId="2EEA4B55">
      <w:pPr>
        <w:rPr>
          <w:color w:val="auto"/>
        </w:rPr>
      </w:pPr>
      <w:r>
        <w:rPr>
          <w:rFonts w:hint="eastAsia"/>
          <w:color w:val="auto"/>
        </w:rPr>
        <w:t xml:space="preserve">项目名称：                         项目编号：        </w:t>
      </w:r>
      <w:r>
        <w:rPr>
          <w:color w:val="auto"/>
        </w:rPr>
        <w:t xml:space="preserve">    </w:t>
      </w:r>
      <w:r>
        <w:rPr>
          <w:rFonts w:hint="eastAsia"/>
          <w:color w:val="auto"/>
        </w:rPr>
        <w:t xml:space="preserve">           </w:t>
      </w:r>
    </w:p>
    <w:p w14:paraId="6D58D68A">
      <w:pPr>
        <w:rPr>
          <w:color w:val="auto"/>
        </w:rPr>
      </w:pPr>
    </w:p>
    <w:tbl>
      <w:tblPr>
        <w:tblStyle w:val="19"/>
        <w:tblW w:w="981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780"/>
        <w:gridCol w:w="1448"/>
        <w:gridCol w:w="1302"/>
        <w:gridCol w:w="1563"/>
      </w:tblGrid>
      <w:tr w14:paraId="004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4" w:type="dxa"/>
            <w:vAlign w:val="center"/>
          </w:tcPr>
          <w:p w14:paraId="042B6419">
            <w:pPr>
              <w:jc w:val="both"/>
              <w:rPr>
                <w:color w:val="auto"/>
              </w:rPr>
            </w:pPr>
            <w:r>
              <w:rPr>
                <w:rFonts w:hint="eastAsia"/>
                <w:color w:val="auto"/>
              </w:rPr>
              <w:t>序号</w:t>
            </w:r>
          </w:p>
        </w:tc>
        <w:tc>
          <w:tcPr>
            <w:tcW w:w="4780" w:type="dxa"/>
            <w:vAlign w:val="center"/>
          </w:tcPr>
          <w:p w14:paraId="0FABBF38">
            <w:pPr>
              <w:jc w:val="both"/>
              <w:rPr>
                <w:color w:val="auto"/>
              </w:rPr>
            </w:pPr>
            <w:r>
              <w:rPr>
                <w:rFonts w:hint="eastAsia"/>
                <w:color w:val="auto"/>
              </w:rPr>
              <w:t>采购文件要求</w:t>
            </w:r>
          </w:p>
        </w:tc>
        <w:tc>
          <w:tcPr>
            <w:tcW w:w="1448" w:type="dxa"/>
            <w:vAlign w:val="center"/>
          </w:tcPr>
          <w:p w14:paraId="4AD37A4B">
            <w:pPr>
              <w:jc w:val="both"/>
              <w:rPr>
                <w:color w:val="auto"/>
              </w:rPr>
            </w:pPr>
            <w:r>
              <w:rPr>
                <w:rFonts w:hint="eastAsia"/>
                <w:color w:val="auto"/>
              </w:rPr>
              <w:t>响应说明</w:t>
            </w:r>
          </w:p>
        </w:tc>
        <w:tc>
          <w:tcPr>
            <w:tcW w:w="1302" w:type="dxa"/>
            <w:vAlign w:val="center"/>
          </w:tcPr>
          <w:p w14:paraId="2E077CDE">
            <w:pPr>
              <w:jc w:val="both"/>
              <w:rPr>
                <w:color w:val="auto"/>
              </w:rPr>
            </w:pPr>
            <w:r>
              <w:rPr>
                <w:rFonts w:hint="eastAsia"/>
                <w:color w:val="auto"/>
              </w:rPr>
              <w:t>响应情况</w:t>
            </w:r>
          </w:p>
        </w:tc>
        <w:tc>
          <w:tcPr>
            <w:tcW w:w="1563" w:type="dxa"/>
            <w:vAlign w:val="center"/>
          </w:tcPr>
          <w:p w14:paraId="704E2085">
            <w:pPr>
              <w:jc w:val="both"/>
              <w:rPr>
                <w:color w:val="auto"/>
              </w:rPr>
            </w:pPr>
            <w:r>
              <w:rPr>
                <w:rFonts w:hint="eastAsia"/>
                <w:color w:val="auto"/>
              </w:rPr>
              <w:t>证明材料</w:t>
            </w:r>
          </w:p>
        </w:tc>
      </w:tr>
      <w:tr w14:paraId="3032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12402EA3">
            <w:pPr>
              <w:jc w:val="both"/>
              <w:rPr>
                <w:color w:val="auto"/>
              </w:rPr>
            </w:pPr>
            <w:r>
              <w:rPr>
                <w:rFonts w:hint="eastAsia"/>
                <w:color w:val="auto"/>
              </w:rPr>
              <w:t>1</w:t>
            </w:r>
          </w:p>
        </w:tc>
        <w:tc>
          <w:tcPr>
            <w:tcW w:w="4780" w:type="dxa"/>
            <w:vAlign w:val="center"/>
          </w:tcPr>
          <w:p w14:paraId="4349ECF2">
            <w:pPr>
              <w:jc w:val="both"/>
              <w:rPr>
                <w:color w:val="auto"/>
              </w:rPr>
            </w:pPr>
            <w:r>
              <w:rPr>
                <w:rFonts w:hint="eastAsia"/>
                <w:snapToGrid w:val="0"/>
                <w:color w:val="auto"/>
              </w:rPr>
              <w:t>合同期：自验收合格之日起2年。</w:t>
            </w:r>
          </w:p>
        </w:tc>
        <w:tc>
          <w:tcPr>
            <w:tcW w:w="1448" w:type="dxa"/>
          </w:tcPr>
          <w:p w14:paraId="0613DDEF">
            <w:pPr>
              <w:jc w:val="both"/>
              <w:rPr>
                <w:color w:val="auto"/>
              </w:rPr>
            </w:pPr>
            <w:r>
              <w:rPr>
                <w:rFonts w:hint="eastAsia"/>
                <w:color w:val="auto"/>
              </w:rPr>
              <w:t>自行填写</w:t>
            </w:r>
          </w:p>
        </w:tc>
        <w:tc>
          <w:tcPr>
            <w:tcW w:w="1302" w:type="dxa"/>
          </w:tcPr>
          <w:p w14:paraId="4335D398">
            <w:pPr>
              <w:jc w:val="both"/>
              <w:rPr>
                <w:color w:val="auto"/>
              </w:rPr>
            </w:pPr>
            <w:r>
              <w:rPr>
                <w:rFonts w:hint="eastAsia"/>
                <w:color w:val="auto"/>
              </w:rPr>
              <w:t>自行填写</w:t>
            </w:r>
          </w:p>
        </w:tc>
        <w:tc>
          <w:tcPr>
            <w:tcW w:w="1563" w:type="dxa"/>
            <w:vAlign w:val="center"/>
          </w:tcPr>
          <w:p w14:paraId="030349C9">
            <w:pPr>
              <w:jc w:val="both"/>
              <w:rPr>
                <w:color w:val="auto"/>
              </w:rPr>
            </w:pPr>
            <w:r>
              <w:rPr>
                <w:rFonts w:hint="eastAsia"/>
                <w:color w:val="auto"/>
              </w:rPr>
              <w:t>采购文件有要求提供证明材料的，需注明证明材料在响应文件第几页</w:t>
            </w:r>
          </w:p>
        </w:tc>
      </w:tr>
      <w:tr w14:paraId="3C3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161FB724">
            <w:pPr>
              <w:jc w:val="both"/>
              <w:rPr>
                <w:color w:val="auto"/>
              </w:rPr>
            </w:pPr>
            <w:r>
              <w:rPr>
                <w:rFonts w:hint="eastAsia"/>
                <w:color w:val="auto"/>
              </w:rPr>
              <w:t>2</w:t>
            </w:r>
          </w:p>
        </w:tc>
        <w:tc>
          <w:tcPr>
            <w:tcW w:w="4780" w:type="dxa"/>
            <w:vAlign w:val="center"/>
          </w:tcPr>
          <w:p w14:paraId="59C1A78F">
            <w:pPr>
              <w:jc w:val="both"/>
              <w:rPr>
                <w:color w:val="auto"/>
              </w:rPr>
            </w:pPr>
            <w:r>
              <w:rPr>
                <w:rFonts w:hint="eastAsia"/>
                <w:color w:val="auto"/>
              </w:rPr>
              <w:t>交货时间：合同签订后6个月内。</w:t>
            </w:r>
          </w:p>
        </w:tc>
        <w:tc>
          <w:tcPr>
            <w:tcW w:w="1448" w:type="dxa"/>
            <w:vAlign w:val="center"/>
          </w:tcPr>
          <w:p w14:paraId="7545FDBA">
            <w:pPr>
              <w:jc w:val="both"/>
              <w:rPr>
                <w:color w:val="auto"/>
              </w:rPr>
            </w:pPr>
          </w:p>
        </w:tc>
        <w:tc>
          <w:tcPr>
            <w:tcW w:w="1302" w:type="dxa"/>
            <w:vAlign w:val="center"/>
          </w:tcPr>
          <w:p w14:paraId="1923AE2D">
            <w:pPr>
              <w:jc w:val="both"/>
              <w:rPr>
                <w:color w:val="auto"/>
              </w:rPr>
            </w:pPr>
          </w:p>
        </w:tc>
        <w:tc>
          <w:tcPr>
            <w:tcW w:w="1563" w:type="dxa"/>
            <w:vAlign w:val="center"/>
          </w:tcPr>
          <w:p w14:paraId="08DDB384">
            <w:pPr>
              <w:jc w:val="both"/>
              <w:rPr>
                <w:color w:val="auto"/>
              </w:rPr>
            </w:pPr>
          </w:p>
        </w:tc>
      </w:tr>
      <w:tr w14:paraId="6CF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vAlign w:val="center"/>
          </w:tcPr>
          <w:p w14:paraId="79199F7B">
            <w:pPr>
              <w:jc w:val="both"/>
              <w:rPr>
                <w:color w:val="auto"/>
              </w:rPr>
            </w:pPr>
            <w:r>
              <w:rPr>
                <w:rFonts w:hint="eastAsia"/>
                <w:color w:val="auto"/>
              </w:rPr>
              <w:t>3</w:t>
            </w:r>
          </w:p>
        </w:tc>
        <w:tc>
          <w:tcPr>
            <w:tcW w:w="4780" w:type="dxa"/>
            <w:vAlign w:val="center"/>
          </w:tcPr>
          <w:p w14:paraId="67083A5A">
            <w:pPr>
              <w:jc w:val="both"/>
              <w:rPr>
                <w:color w:val="auto"/>
              </w:rPr>
            </w:pPr>
            <w:r>
              <w:rPr>
                <w:rFonts w:hint="eastAsia"/>
                <w:color w:val="auto"/>
              </w:rPr>
              <w:t>交货地点：南京大学仙林校区。</w:t>
            </w:r>
          </w:p>
        </w:tc>
        <w:tc>
          <w:tcPr>
            <w:tcW w:w="1448" w:type="dxa"/>
            <w:vAlign w:val="center"/>
          </w:tcPr>
          <w:p w14:paraId="41B37486">
            <w:pPr>
              <w:jc w:val="both"/>
              <w:rPr>
                <w:color w:val="auto"/>
              </w:rPr>
            </w:pPr>
          </w:p>
        </w:tc>
        <w:tc>
          <w:tcPr>
            <w:tcW w:w="1302" w:type="dxa"/>
            <w:vAlign w:val="center"/>
          </w:tcPr>
          <w:p w14:paraId="1C8A0CC0">
            <w:pPr>
              <w:jc w:val="both"/>
              <w:rPr>
                <w:color w:val="auto"/>
              </w:rPr>
            </w:pPr>
          </w:p>
        </w:tc>
        <w:tc>
          <w:tcPr>
            <w:tcW w:w="1563" w:type="dxa"/>
            <w:vAlign w:val="center"/>
          </w:tcPr>
          <w:p w14:paraId="7717F3F1">
            <w:pPr>
              <w:jc w:val="both"/>
              <w:rPr>
                <w:color w:val="auto"/>
              </w:rPr>
            </w:pPr>
          </w:p>
        </w:tc>
      </w:tr>
      <w:tr w14:paraId="1E6D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vAlign w:val="center"/>
          </w:tcPr>
          <w:p w14:paraId="45026096">
            <w:pPr>
              <w:jc w:val="both"/>
              <w:rPr>
                <w:color w:val="auto"/>
              </w:rPr>
            </w:pPr>
            <w:r>
              <w:rPr>
                <w:rFonts w:hint="eastAsia"/>
                <w:color w:val="auto"/>
              </w:rPr>
              <w:t>4</w:t>
            </w:r>
          </w:p>
        </w:tc>
        <w:tc>
          <w:tcPr>
            <w:tcW w:w="4780" w:type="dxa"/>
            <w:vAlign w:val="center"/>
          </w:tcPr>
          <w:p w14:paraId="074028F2">
            <w:pPr>
              <w:jc w:val="both"/>
              <w:rPr>
                <w:color w:val="auto"/>
              </w:rPr>
            </w:pPr>
            <w:r>
              <w:rPr>
                <w:rFonts w:hint="eastAsia"/>
                <w:color w:val="auto"/>
              </w:rPr>
              <w:t>售后服务响应要求：供应商保证在接到故障电话后的6小时内响应采购人的要求，并且在12小时内派员上门现场维护并在24小时内排除故障修复使用。</w:t>
            </w:r>
          </w:p>
        </w:tc>
        <w:tc>
          <w:tcPr>
            <w:tcW w:w="1448" w:type="dxa"/>
            <w:vAlign w:val="center"/>
          </w:tcPr>
          <w:p w14:paraId="436F8635">
            <w:pPr>
              <w:jc w:val="both"/>
              <w:rPr>
                <w:color w:val="auto"/>
              </w:rPr>
            </w:pPr>
          </w:p>
        </w:tc>
        <w:tc>
          <w:tcPr>
            <w:tcW w:w="1302" w:type="dxa"/>
            <w:vAlign w:val="center"/>
          </w:tcPr>
          <w:p w14:paraId="287C853C">
            <w:pPr>
              <w:jc w:val="both"/>
              <w:rPr>
                <w:color w:val="auto"/>
              </w:rPr>
            </w:pPr>
          </w:p>
        </w:tc>
        <w:tc>
          <w:tcPr>
            <w:tcW w:w="1563" w:type="dxa"/>
            <w:vAlign w:val="center"/>
          </w:tcPr>
          <w:p w14:paraId="4C100A70">
            <w:pPr>
              <w:jc w:val="both"/>
              <w:rPr>
                <w:color w:val="auto"/>
              </w:rPr>
            </w:pPr>
          </w:p>
        </w:tc>
      </w:tr>
      <w:tr w14:paraId="56A3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vAlign w:val="center"/>
          </w:tcPr>
          <w:p w14:paraId="644919EA">
            <w:pPr>
              <w:jc w:val="both"/>
              <w:rPr>
                <w:color w:val="auto"/>
              </w:rPr>
            </w:pPr>
            <w:r>
              <w:rPr>
                <w:rFonts w:hint="eastAsia"/>
                <w:color w:val="auto"/>
              </w:rPr>
              <w:t>5</w:t>
            </w:r>
          </w:p>
        </w:tc>
        <w:tc>
          <w:tcPr>
            <w:tcW w:w="4780" w:type="dxa"/>
            <w:vAlign w:val="center"/>
          </w:tcPr>
          <w:p w14:paraId="63741D11">
            <w:pPr>
              <w:jc w:val="both"/>
              <w:rPr>
                <w:color w:val="auto"/>
              </w:rPr>
            </w:pPr>
            <w:r>
              <w:rPr>
                <w:rFonts w:hint="eastAsia"/>
                <w:color w:val="auto"/>
              </w:rPr>
              <w:t>培训要求：供应商需提供系统产品配置和开发培训，采购人将派技术人员参与系统配置和代码开发学习，以便采购人技术人员后续可以逐步接受系统配置、二次开发和运维。供应商负责对采购人相关人员进行平台基本操作的现场免费培训，直至能独立操作。培训内容包括平台运行的基本原理、上机操作、软件使用与开发、日常维护保养及常见故障排除等。</w:t>
            </w:r>
          </w:p>
        </w:tc>
        <w:tc>
          <w:tcPr>
            <w:tcW w:w="1448" w:type="dxa"/>
            <w:vAlign w:val="center"/>
          </w:tcPr>
          <w:p w14:paraId="788C0710">
            <w:pPr>
              <w:jc w:val="both"/>
              <w:rPr>
                <w:color w:val="auto"/>
              </w:rPr>
            </w:pPr>
          </w:p>
        </w:tc>
        <w:tc>
          <w:tcPr>
            <w:tcW w:w="1302" w:type="dxa"/>
            <w:vAlign w:val="center"/>
          </w:tcPr>
          <w:p w14:paraId="2EF7F49D">
            <w:pPr>
              <w:jc w:val="both"/>
              <w:rPr>
                <w:color w:val="auto"/>
              </w:rPr>
            </w:pPr>
          </w:p>
        </w:tc>
        <w:tc>
          <w:tcPr>
            <w:tcW w:w="1563" w:type="dxa"/>
            <w:vAlign w:val="center"/>
          </w:tcPr>
          <w:p w14:paraId="796FF1FD">
            <w:pPr>
              <w:jc w:val="both"/>
              <w:rPr>
                <w:color w:val="auto"/>
              </w:rPr>
            </w:pPr>
          </w:p>
        </w:tc>
      </w:tr>
      <w:tr w14:paraId="4D46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4" w:type="dxa"/>
            <w:vAlign w:val="center"/>
          </w:tcPr>
          <w:p w14:paraId="58318473">
            <w:pPr>
              <w:jc w:val="both"/>
              <w:rPr>
                <w:color w:val="auto"/>
              </w:rPr>
            </w:pPr>
            <w:r>
              <w:rPr>
                <w:rFonts w:hint="eastAsia"/>
                <w:color w:val="auto"/>
              </w:rPr>
              <w:t>6</w:t>
            </w:r>
          </w:p>
        </w:tc>
        <w:tc>
          <w:tcPr>
            <w:tcW w:w="4780" w:type="dxa"/>
            <w:vAlign w:val="center"/>
          </w:tcPr>
          <w:p w14:paraId="7EB3209E">
            <w:pPr>
              <w:jc w:val="both"/>
              <w:rPr>
                <w:color w:val="auto"/>
              </w:rPr>
            </w:pPr>
            <w:r>
              <w:rPr>
                <w:rFonts w:hint="eastAsia"/>
                <w:color w:val="auto"/>
              </w:rPr>
              <w:t>付款方式：产品开通部署验收后付款5</w:t>
            </w:r>
            <w:r>
              <w:rPr>
                <w:color w:val="auto"/>
              </w:rPr>
              <w:t>0%</w:t>
            </w:r>
            <w:r>
              <w:rPr>
                <w:rFonts w:hint="eastAsia"/>
                <w:color w:val="auto"/>
              </w:rPr>
              <w:t>，合同期满前1个月再付款剩余部分。</w:t>
            </w:r>
          </w:p>
        </w:tc>
        <w:tc>
          <w:tcPr>
            <w:tcW w:w="1448" w:type="dxa"/>
            <w:vAlign w:val="center"/>
          </w:tcPr>
          <w:p w14:paraId="38F73C5E">
            <w:pPr>
              <w:jc w:val="both"/>
              <w:rPr>
                <w:color w:val="auto"/>
              </w:rPr>
            </w:pPr>
          </w:p>
        </w:tc>
        <w:tc>
          <w:tcPr>
            <w:tcW w:w="1302" w:type="dxa"/>
            <w:vAlign w:val="center"/>
          </w:tcPr>
          <w:p w14:paraId="7FD3BC6F">
            <w:pPr>
              <w:jc w:val="both"/>
              <w:rPr>
                <w:color w:val="auto"/>
              </w:rPr>
            </w:pPr>
          </w:p>
        </w:tc>
        <w:tc>
          <w:tcPr>
            <w:tcW w:w="1563" w:type="dxa"/>
            <w:vAlign w:val="center"/>
          </w:tcPr>
          <w:p w14:paraId="78F0E9CE">
            <w:pPr>
              <w:jc w:val="both"/>
              <w:rPr>
                <w:color w:val="auto"/>
              </w:rPr>
            </w:pPr>
          </w:p>
        </w:tc>
      </w:tr>
    </w:tbl>
    <w:p w14:paraId="217E70D6">
      <w:pPr>
        <w:rPr>
          <w:color w:val="auto"/>
        </w:rPr>
      </w:pPr>
    </w:p>
    <w:p w14:paraId="0ABB7F56">
      <w:pPr>
        <w:pStyle w:val="11"/>
        <w:rPr>
          <w:rFonts w:ascii="仿宋" w:hAnsi="仿宋"/>
          <w:color w:val="auto"/>
          <w:sz w:val="24"/>
          <w:szCs w:val="24"/>
        </w:rPr>
      </w:pPr>
      <w:r>
        <w:rPr>
          <w:rFonts w:hint="eastAsia" w:ascii="仿宋" w:hAnsi="仿宋"/>
          <w:color w:val="auto"/>
          <w:sz w:val="24"/>
          <w:szCs w:val="24"/>
        </w:rPr>
        <w:t>备注：</w:t>
      </w:r>
    </w:p>
    <w:p w14:paraId="5610C58E">
      <w:pPr>
        <w:rPr>
          <w:color w:val="auto"/>
        </w:rPr>
      </w:pPr>
      <w:r>
        <w:rPr>
          <w:rFonts w:hint="eastAsia"/>
          <w:color w:val="auto"/>
        </w:rPr>
        <w:t>1.采购文件有要求提供证明材料的，必须要提供证明材料，否则视为未实质性响应。此外在商务偏离表里须注明该证明文件的具体位置如页码或序号。</w:t>
      </w:r>
    </w:p>
    <w:p w14:paraId="5C77C515">
      <w:pPr>
        <w:rPr>
          <w:color w:val="auto"/>
        </w:rPr>
      </w:pPr>
      <w:r>
        <w:rPr>
          <w:color w:val="auto"/>
        </w:rPr>
        <w:t>2.</w:t>
      </w:r>
      <w:r>
        <w:rPr>
          <w:rFonts w:hint="eastAsia"/>
          <w:color w:val="auto"/>
        </w:rPr>
        <w:t>如果对其中某些条款不响应时，也应在文件中逐条列出。</w:t>
      </w:r>
    </w:p>
    <w:p w14:paraId="79D09110">
      <w:pPr>
        <w:rPr>
          <w:color w:val="auto"/>
        </w:rPr>
      </w:pPr>
      <w:r>
        <w:rPr>
          <w:color w:val="auto"/>
        </w:rPr>
        <w:t>3.</w:t>
      </w:r>
      <w:r>
        <w:rPr>
          <w:rFonts w:hint="eastAsia"/>
          <w:color w:val="auto"/>
        </w:rPr>
        <w:t>如有漏写视为负偏离。</w:t>
      </w:r>
    </w:p>
    <w:p w14:paraId="515A1C3B">
      <w:pPr>
        <w:rPr>
          <w:color w:val="auto"/>
        </w:rPr>
      </w:pPr>
    </w:p>
    <w:p w14:paraId="08F9E25F">
      <w:pPr>
        <w:rPr>
          <w:color w:val="auto"/>
        </w:rPr>
      </w:pPr>
      <w:r>
        <w:rPr>
          <w:rFonts w:hint="eastAsia"/>
          <w:color w:val="auto"/>
        </w:rPr>
        <w:t>供 应</w:t>
      </w:r>
      <w:r>
        <w:rPr>
          <w:color w:val="auto"/>
        </w:rPr>
        <w:t xml:space="preserve"> </w:t>
      </w:r>
      <w:r>
        <w:rPr>
          <w:rFonts w:hint="eastAsia"/>
          <w:color w:val="auto"/>
        </w:rPr>
        <w:t xml:space="preserve">商（公章）：                                    </w:t>
      </w:r>
      <w:r>
        <w:rPr>
          <w:color w:val="auto"/>
        </w:rPr>
        <w:t xml:space="preserve">  </w:t>
      </w:r>
    </w:p>
    <w:p w14:paraId="756E0F4E">
      <w:pPr>
        <w:rPr>
          <w:color w:val="auto"/>
        </w:rPr>
      </w:pPr>
      <w:r>
        <w:rPr>
          <w:rFonts w:hint="eastAsia"/>
          <w:color w:val="auto"/>
        </w:rPr>
        <w:t xml:space="preserve">授权代表（签字）：                                     </w:t>
      </w:r>
      <w:r>
        <w:rPr>
          <w:color w:val="auto"/>
        </w:rPr>
        <w:t xml:space="preserve"> </w:t>
      </w:r>
    </w:p>
    <w:p w14:paraId="1A4E1767">
      <w:pPr>
        <w:rPr>
          <w:color w:val="auto"/>
        </w:rPr>
      </w:pPr>
      <w:r>
        <w:rPr>
          <w:rFonts w:hint="eastAsia"/>
          <w:color w:val="auto"/>
        </w:rPr>
        <w:t xml:space="preserve">日       </w:t>
      </w:r>
      <w:r>
        <w:rPr>
          <w:color w:val="auto"/>
        </w:rPr>
        <w:t xml:space="preserve"> </w:t>
      </w:r>
      <w:r>
        <w:rPr>
          <w:rFonts w:hint="eastAsia"/>
          <w:color w:val="auto"/>
        </w:rPr>
        <w:t xml:space="preserve">    期：2025年   月   日</w:t>
      </w:r>
    </w:p>
    <w:p w14:paraId="40E48BD5">
      <w:pPr>
        <w:rPr>
          <w:color w:val="auto"/>
        </w:rPr>
      </w:pPr>
      <w:r>
        <w:rPr>
          <w:color w:val="auto"/>
        </w:rPr>
        <w:br w:type="page"/>
      </w:r>
    </w:p>
    <w:p w14:paraId="1AD533D0">
      <w:pPr>
        <w:jc w:val="center"/>
        <w:rPr>
          <w:color w:val="auto"/>
          <w:sz w:val="32"/>
          <w:szCs w:val="32"/>
        </w:rPr>
      </w:pPr>
      <w:r>
        <w:rPr>
          <w:rFonts w:hint="eastAsia"/>
          <w:color w:val="auto"/>
          <w:sz w:val="32"/>
          <w:szCs w:val="32"/>
        </w:rPr>
        <w:t>技术条款响应表</w:t>
      </w:r>
    </w:p>
    <w:p w14:paraId="00316658">
      <w:pPr>
        <w:rPr>
          <w:color w:val="auto"/>
        </w:rPr>
      </w:pPr>
      <w:r>
        <w:rPr>
          <w:rFonts w:hint="eastAsia"/>
          <w:color w:val="auto"/>
        </w:rPr>
        <w:t xml:space="preserve">项目名称：                              项目编号：                    </w:t>
      </w:r>
    </w:p>
    <w:tbl>
      <w:tblPr>
        <w:tblStyle w:val="1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810"/>
        <w:gridCol w:w="1134"/>
        <w:gridCol w:w="1134"/>
        <w:gridCol w:w="1385"/>
      </w:tblGrid>
      <w:tr w14:paraId="3184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22FDECB">
            <w:pPr>
              <w:rPr>
                <w:color w:val="auto"/>
              </w:rPr>
            </w:pPr>
            <w:r>
              <w:rPr>
                <w:rFonts w:hint="eastAsia"/>
                <w:color w:val="auto"/>
              </w:rPr>
              <w:t>序号</w:t>
            </w:r>
          </w:p>
        </w:tc>
        <w:tc>
          <w:tcPr>
            <w:tcW w:w="5810" w:type="dxa"/>
            <w:tcBorders>
              <w:top w:val="single" w:color="auto" w:sz="4" w:space="0"/>
              <w:left w:val="nil"/>
              <w:bottom w:val="single" w:color="auto" w:sz="4" w:space="0"/>
              <w:right w:val="single" w:color="auto" w:sz="4" w:space="0"/>
            </w:tcBorders>
            <w:vAlign w:val="center"/>
          </w:tcPr>
          <w:p w14:paraId="0182B44B">
            <w:pPr>
              <w:rPr>
                <w:color w:val="auto"/>
              </w:rPr>
            </w:pPr>
            <w:r>
              <w:rPr>
                <w:rFonts w:hint="eastAsia"/>
                <w:color w:val="auto"/>
              </w:rPr>
              <w:t>采购文件技术要求</w:t>
            </w:r>
          </w:p>
        </w:tc>
        <w:tc>
          <w:tcPr>
            <w:tcW w:w="1134" w:type="dxa"/>
            <w:tcBorders>
              <w:top w:val="single" w:color="auto" w:sz="4" w:space="0"/>
              <w:left w:val="nil"/>
              <w:bottom w:val="single" w:color="auto" w:sz="4" w:space="0"/>
              <w:right w:val="single" w:color="auto" w:sz="4" w:space="0"/>
            </w:tcBorders>
            <w:vAlign w:val="center"/>
          </w:tcPr>
          <w:p w14:paraId="0E4B58FC">
            <w:pPr>
              <w:rPr>
                <w:color w:val="auto"/>
              </w:rPr>
            </w:pPr>
            <w:r>
              <w:rPr>
                <w:rFonts w:hint="eastAsia"/>
                <w:color w:val="auto"/>
              </w:rPr>
              <w:t>响应情况</w:t>
            </w:r>
          </w:p>
        </w:tc>
        <w:tc>
          <w:tcPr>
            <w:tcW w:w="1134" w:type="dxa"/>
            <w:tcBorders>
              <w:top w:val="single" w:color="auto" w:sz="4" w:space="0"/>
              <w:left w:val="nil"/>
              <w:bottom w:val="single" w:color="auto" w:sz="4" w:space="0"/>
              <w:right w:val="single" w:color="auto" w:sz="4" w:space="0"/>
            </w:tcBorders>
            <w:vAlign w:val="center"/>
          </w:tcPr>
          <w:p w14:paraId="7BA17486">
            <w:pPr>
              <w:rPr>
                <w:color w:val="auto"/>
              </w:rPr>
            </w:pPr>
            <w:r>
              <w:rPr>
                <w:rFonts w:hint="eastAsia"/>
                <w:color w:val="auto"/>
              </w:rPr>
              <w:t>偏离情况</w:t>
            </w:r>
          </w:p>
        </w:tc>
        <w:tc>
          <w:tcPr>
            <w:tcW w:w="1385" w:type="dxa"/>
            <w:tcBorders>
              <w:top w:val="single" w:color="auto" w:sz="4" w:space="0"/>
              <w:left w:val="nil"/>
              <w:bottom w:val="single" w:color="auto" w:sz="4" w:space="0"/>
              <w:right w:val="single" w:color="auto" w:sz="4" w:space="0"/>
            </w:tcBorders>
            <w:vAlign w:val="center"/>
          </w:tcPr>
          <w:p w14:paraId="7C0045D7">
            <w:pPr>
              <w:rPr>
                <w:color w:val="auto"/>
              </w:rPr>
            </w:pPr>
            <w:r>
              <w:rPr>
                <w:rFonts w:hint="eastAsia"/>
                <w:color w:val="auto"/>
              </w:rPr>
              <w:t>证明材料</w:t>
            </w:r>
          </w:p>
        </w:tc>
      </w:tr>
      <w:tr w14:paraId="2379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C339F7B">
            <w:pPr>
              <w:rPr>
                <w:color w:val="auto"/>
              </w:rPr>
            </w:pPr>
            <w:r>
              <w:rPr>
                <w:rFonts w:hint="eastAsia"/>
                <w:color w:val="auto"/>
              </w:rPr>
              <w:t>一、后勤综合应用</w:t>
            </w:r>
          </w:p>
        </w:tc>
      </w:tr>
      <w:tr w14:paraId="4F5A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199DA1EF">
            <w:pPr>
              <w:rPr>
                <w:color w:val="auto"/>
              </w:rPr>
            </w:pPr>
            <w:r>
              <w:rPr>
                <w:rFonts w:hint="eastAsia"/>
                <w:color w:val="auto"/>
              </w:rPr>
              <w:t>一）数据管理</w:t>
            </w:r>
          </w:p>
        </w:tc>
      </w:tr>
      <w:tr w14:paraId="6AE8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F20E868">
            <w:pPr>
              <w:pStyle w:val="40"/>
            </w:pPr>
            <w:r>
              <w:rPr>
                <w:rFonts w:hint="eastAsia"/>
              </w:rPr>
              <w:t>1</w:t>
            </w:r>
          </w:p>
        </w:tc>
        <w:tc>
          <w:tcPr>
            <w:tcW w:w="5810" w:type="dxa"/>
            <w:tcBorders>
              <w:top w:val="single" w:color="auto" w:sz="4" w:space="0"/>
              <w:left w:val="single" w:color="auto" w:sz="4" w:space="0"/>
              <w:bottom w:val="single" w:color="auto" w:sz="4" w:space="0"/>
              <w:right w:val="single" w:color="auto" w:sz="4" w:space="0"/>
            </w:tcBorders>
            <w:vAlign w:val="center"/>
          </w:tcPr>
          <w:p w14:paraId="3C80B48C">
            <w:pPr>
              <w:pStyle w:val="40"/>
            </w:pPr>
            <w:r>
              <w:rPr>
                <w:rFonts w:hint="eastAsia"/>
              </w:rPr>
              <w:t>基础数据管理。该类数据相对固定，需按类别显示，可更新。</w:t>
            </w:r>
          </w:p>
        </w:tc>
        <w:tc>
          <w:tcPr>
            <w:tcW w:w="1134" w:type="dxa"/>
            <w:tcBorders>
              <w:top w:val="single" w:color="auto" w:sz="4" w:space="0"/>
              <w:left w:val="single" w:color="auto" w:sz="4" w:space="0"/>
              <w:bottom w:val="single" w:color="auto" w:sz="4" w:space="0"/>
              <w:right w:val="single" w:color="auto" w:sz="4" w:space="0"/>
            </w:tcBorders>
            <w:vAlign w:val="center"/>
          </w:tcPr>
          <w:p w14:paraId="309B45BD">
            <w:pPr>
              <w:rPr>
                <w:color w:val="auto"/>
              </w:rPr>
            </w:pPr>
            <w:r>
              <w:rPr>
                <w:rFonts w:hint="eastAsia"/>
                <w:color w:val="auto"/>
              </w:rPr>
              <w:t>自行填写</w:t>
            </w:r>
          </w:p>
        </w:tc>
        <w:tc>
          <w:tcPr>
            <w:tcW w:w="1134" w:type="dxa"/>
            <w:tcBorders>
              <w:top w:val="single" w:color="auto" w:sz="4" w:space="0"/>
              <w:left w:val="single" w:color="auto" w:sz="4" w:space="0"/>
              <w:bottom w:val="single" w:color="auto" w:sz="4" w:space="0"/>
              <w:right w:val="single" w:color="auto" w:sz="4" w:space="0"/>
            </w:tcBorders>
            <w:vAlign w:val="center"/>
          </w:tcPr>
          <w:p w14:paraId="4FCF2632">
            <w:pPr>
              <w:rPr>
                <w:color w:val="auto"/>
              </w:rPr>
            </w:pPr>
            <w:r>
              <w:rPr>
                <w:rFonts w:hint="eastAsia"/>
                <w:color w:val="auto"/>
              </w:rPr>
              <w:t>自行填写</w:t>
            </w:r>
          </w:p>
        </w:tc>
        <w:tc>
          <w:tcPr>
            <w:tcW w:w="1385" w:type="dxa"/>
            <w:tcBorders>
              <w:top w:val="single" w:color="auto" w:sz="4" w:space="0"/>
              <w:left w:val="single" w:color="auto" w:sz="4" w:space="0"/>
              <w:bottom w:val="single" w:color="auto" w:sz="4" w:space="0"/>
              <w:right w:val="single" w:color="auto" w:sz="4" w:space="0"/>
            </w:tcBorders>
            <w:vAlign w:val="center"/>
          </w:tcPr>
          <w:p w14:paraId="58F93164">
            <w:pPr>
              <w:rPr>
                <w:color w:val="auto"/>
              </w:rPr>
            </w:pPr>
            <w:r>
              <w:rPr>
                <w:rFonts w:hint="eastAsia"/>
                <w:color w:val="auto"/>
              </w:rPr>
              <w:t>采购文件有要求提供证明材料的，需注明证明材料在响应文件第几页</w:t>
            </w:r>
          </w:p>
        </w:tc>
      </w:tr>
      <w:tr w14:paraId="4DD6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C100009">
            <w:pPr>
              <w:rPr>
                <w:color w:val="auto"/>
              </w:rPr>
            </w:pPr>
            <w:r>
              <w:rPr>
                <w:rFonts w:hint="eastAsia"/>
                <w:color w:val="auto"/>
              </w:rPr>
              <w:t>2</w:t>
            </w:r>
          </w:p>
        </w:tc>
        <w:tc>
          <w:tcPr>
            <w:tcW w:w="5810" w:type="dxa"/>
            <w:tcBorders>
              <w:top w:val="single" w:color="auto" w:sz="4" w:space="0"/>
              <w:left w:val="single" w:color="auto" w:sz="4" w:space="0"/>
              <w:bottom w:val="single" w:color="auto" w:sz="4" w:space="0"/>
              <w:right w:val="single" w:color="auto" w:sz="4" w:space="0"/>
            </w:tcBorders>
            <w:vAlign w:val="center"/>
          </w:tcPr>
          <w:p w14:paraId="0CDE6085">
            <w:pPr>
              <w:rPr>
                <w:color w:val="auto"/>
              </w:rPr>
            </w:pPr>
            <w:r>
              <w:rPr>
                <w:rFonts w:hint="eastAsia"/>
                <w:color w:val="auto"/>
              </w:rPr>
              <w:t>动态数据管理。用于日常各类数据统计、报表等。</w:t>
            </w:r>
          </w:p>
        </w:tc>
        <w:tc>
          <w:tcPr>
            <w:tcW w:w="1134" w:type="dxa"/>
            <w:tcBorders>
              <w:top w:val="single" w:color="auto" w:sz="4" w:space="0"/>
              <w:left w:val="single" w:color="auto" w:sz="4" w:space="0"/>
              <w:bottom w:val="single" w:color="auto" w:sz="4" w:space="0"/>
              <w:right w:val="single" w:color="auto" w:sz="4" w:space="0"/>
            </w:tcBorders>
            <w:vAlign w:val="center"/>
          </w:tcPr>
          <w:p w14:paraId="4A297C8C">
            <w:pPr>
              <w:rPr>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14:paraId="349BE379">
            <w:pPr>
              <w:rPr>
                <w:color w:val="auto"/>
              </w:rPr>
            </w:pPr>
          </w:p>
        </w:tc>
        <w:tc>
          <w:tcPr>
            <w:tcW w:w="1385" w:type="dxa"/>
            <w:tcBorders>
              <w:top w:val="single" w:color="auto" w:sz="4" w:space="0"/>
              <w:left w:val="single" w:color="auto" w:sz="4" w:space="0"/>
              <w:bottom w:val="single" w:color="auto" w:sz="4" w:space="0"/>
              <w:right w:val="single" w:color="auto" w:sz="4" w:space="0"/>
            </w:tcBorders>
            <w:vAlign w:val="center"/>
          </w:tcPr>
          <w:p w14:paraId="5B725FEA">
            <w:pPr>
              <w:rPr>
                <w:color w:val="auto"/>
              </w:rPr>
            </w:pPr>
          </w:p>
        </w:tc>
      </w:tr>
      <w:tr w14:paraId="781D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6550E99">
            <w:pPr>
              <w:rPr>
                <w:color w:val="auto"/>
              </w:rPr>
            </w:pPr>
            <w:r>
              <w:rPr>
                <w:rFonts w:hint="eastAsia"/>
                <w:color w:val="auto"/>
              </w:rPr>
              <w:t>二）现场管理</w:t>
            </w:r>
          </w:p>
        </w:tc>
      </w:tr>
      <w:tr w14:paraId="209C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2E201A42">
            <w:pPr>
              <w:rPr>
                <w:color w:val="auto"/>
              </w:rPr>
            </w:pPr>
            <w:r>
              <w:rPr>
                <w:rFonts w:hint="eastAsia"/>
                <w:color w:val="auto"/>
              </w:rPr>
              <w:t>宿舍管理</w:t>
            </w:r>
          </w:p>
        </w:tc>
      </w:tr>
      <w:tr w14:paraId="392F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2D7B71E">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4898BD69">
            <w:pPr>
              <w:rPr>
                <w:color w:val="auto"/>
              </w:rPr>
            </w:pPr>
            <w:r>
              <w:rPr>
                <w:rFonts w:hint="eastAsia"/>
                <w:color w:val="auto"/>
              </w:rPr>
              <w:t>学生住宿卡电子化，包含学生最新照片，家庭，院系相关信息统计及更新。</w:t>
            </w:r>
          </w:p>
        </w:tc>
        <w:tc>
          <w:tcPr>
            <w:tcW w:w="1134" w:type="dxa"/>
            <w:tcBorders>
              <w:top w:val="single" w:color="auto" w:sz="4" w:space="0"/>
              <w:left w:val="nil"/>
              <w:bottom w:val="single" w:color="auto" w:sz="4" w:space="0"/>
              <w:right w:val="single" w:color="auto" w:sz="4" w:space="0"/>
            </w:tcBorders>
            <w:vAlign w:val="center"/>
          </w:tcPr>
          <w:p w14:paraId="26A731DF">
            <w:pPr>
              <w:rPr>
                <w:color w:val="auto"/>
              </w:rPr>
            </w:pPr>
          </w:p>
        </w:tc>
        <w:tc>
          <w:tcPr>
            <w:tcW w:w="1134" w:type="dxa"/>
            <w:tcBorders>
              <w:top w:val="single" w:color="auto" w:sz="4" w:space="0"/>
              <w:left w:val="nil"/>
              <w:bottom w:val="single" w:color="auto" w:sz="4" w:space="0"/>
              <w:right w:val="single" w:color="auto" w:sz="4" w:space="0"/>
            </w:tcBorders>
            <w:vAlign w:val="center"/>
          </w:tcPr>
          <w:p w14:paraId="773111D9">
            <w:pPr>
              <w:rPr>
                <w:color w:val="auto"/>
              </w:rPr>
            </w:pPr>
          </w:p>
        </w:tc>
        <w:tc>
          <w:tcPr>
            <w:tcW w:w="1385" w:type="dxa"/>
            <w:tcBorders>
              <w:top w:val="single" w:color="auto" w:sz="4" w:space="0"/>
              <w:left w:val="nil"/>
              <w:bottom w:val="single" w:color="auto" w:sz="4" w:space="0"/>
              <w:right w:val="single" w:color="auto" w:sz="4" w:space="0"/>
            </w:tcBorders>
            <w:vAlign w:val="center"/>
          </w:tcPr>
          <w:p w14:paraId="3086A9DE">
            <w:pPr>
              <w:rPr>
                <w:color w:val="auto"/>
              </w:rPr>
            </w:pPr>
          </w:p>
        </w:tc>
      </w:tr>
      <w:tr w14:paraId="5F36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EC8A499">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225F6B75">
            <w:pPr>
              <w:rPr>
                <w:color w:val="auto"/>
              </w:rPr>
            </w:pPr>
            <w:r>
              <w:rPr>
                <w:rFonts w:hint="eastAsia"/>
                <w:color w:val="auto"/>
              </w:rPr>
              <w:t>公寓楼栋的基本数据：面积，楼层，竣工时间，最新入住学生信息，学生性别（男女），学生性质（本硕博），床位信息，院系，辅导员等。动态显示实时学生人数，空床位情况等。</w:t>
            </w:r>
          </w:p>
        </w:tc>
        <w:tc>
          <w:tcPr>
            <w:tcW w:w="1134" w:type="dxa"/>
            <w:tcBorders>
              <w:top w:val="single" w:color="auto" w:sz="4" w:space="0"/>
              <w:left w:val="nil"/>
              <w:bottom w:val="single" w:color="auto" w:sz="4" w:space="0"/>
              <w:right w:val="single" w:color="auto" w:sz="4" w:space="0"/>
            </w:tcBorders>
            <w:vAlign w:val="center"/>
          </w:tcPr>
          <w:p w14:paraId="41AA344E">
            <w:pPr>
              <w:rPr>
                <w:color w:val="auto"/>
              </w:rPr>
            </w:pPr>
          </w:p>
        </w:tc>
        <w:tc>
          <w:tcPr>
            <w:tcW w:w="1134" w:type="dxa"/>
            <w:tcBorders>
              <w:top w:val="single" w:color="auto" w:sz="4" w:space="0"/>
              <w:left w:val="nil"/>
              <w:bottom w:val="single" w:color="auto" w:sz="4" w:space="0"/>
              <w:right w:val="single" w:color="auto" w:sz="4" w:space="0"/>
            </w:tcBorders>
            <w:vAlign w:val="center"/>
          </w:tcPr>
          <w:p w14:paraId="39A57525">
            <w:pPr>
              <w:rPr>
                <w:color w:val="auto"/>
              </w:rPr>
            </w:pPr>
          </w:p>
        </w:tc>
        <w:tc>
          <w:tcPr>
            <w:tcW w:w="1385" w:type="dxa"/>
            <w:tcBorders>
              <w:top w:val="single" w:color="auto" w:sz="4" w:space="0"/>
              <w:left w:val="nil"/>
              <w:bottom w:val="single" w:color="auto" w:sz="4" w:space="0"/>
              <w:right w:val="single" w:color="auto" w:sz="4" w:space="0"/>
            </w:tcBorders>
            <w:vAlign w:val="center"/>
          </w:tcPr>
          <w:p w14:paraId="1B8BD9FF">
            <w:pPr>
              <w:rPr>
                <w:color w:val="auto"/>
              </w:rPr>
            </w:pPr>
          </w:p>
        </w:tc>
      </w:tr>
      <w:tr w14:paraId="5E6F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24BAD56">
            <w:pPr>
              <w:pStyle w:val="40"/>
            </w:pPr>
            <w:r>
              <w:rPr>
                <w:rFonts w:hint="eastAsia"/>
              </w:rPr>
              <w:t>3</w:t>
            </w:r>
          </w:p>
        </w:tc>
        <w:tc>
          <w:tcPr>
            <w:tcW w:w="5810" w:type="dxa"/>
            <w:tcBorders>
              <w:top w:val="single" w:color="auto" w:sz="4" w:space="0"/>
              <w:left w:val="nil"/>
              <w:bottom w:val="single" w:color="auto" w:sz="4" w:space="0"/>
              <w:right w:val="single" w:color="auto" w:sz="4" w:space="0"/>
            </w:tcBorders>
            <w:vAlign w:val="center"/>
          </w:tcPr>
          <w:p w14:paraId="3C4599C1">
            <w:pPr>
              <w:rPr>
                <w:color w:val="auto"/>
              </w:rPr>
            </w:pPr>
            <w:r>
              <w:rPr>
                <w:rFonts w:hint="eastAsia"/>
                <w:color w:val="auto"/>
              </w:rPr>
              <w:t>寒暑假离校登记表，在线登记和统计离校信息。</w:t>
            </w:r>
          </w:p>
        </w:tc>
        <w:tc>
          <w:tcPr>
            <w:tcW w:w="1134" w:type="dxa"/>
            <w:tcBorders>
              <w:top w:val="single" w:color="auto" w:sz="4" w:space="0"/>
              <w:left w:val="nil"/>
              <w:bottom w:val="single" w:color="auto" w:sz="4" w:space="0"/>
              <w:right w:val="single" w:color="auto" w:sz="4" w:space="0"/>
            </w:tcBorders>
            <w:vAlign w:val="center"/>
          </w:tcPr>
          <w:p w14:paraId="55284EF6">
            <w:pPr>
              <w:rPr>
                <w:color w:val="auto"/>
              </w:rPr>
            </w:pPr>
          </w:p>
        </w:tc>
        <w:tc>
          <w:tcPr>
            <w:tcW w:w="1134" w:type="dxa"/>
            <w:tcBorders>
              <w:top w:val="single" w:color="auto" w:sz="4" w:space="0"/>
              <w:left w:val="nil"/>
              <w:bottom w:val="single" w:color="auto" w:sz="4" w:space="0"/>
              <w:right w:val="single" w:color="auto" w:sz="4" w:space="0"/>
            </w:tcBorders>
            <w:vAlign w:val="center"/>
          </w:tcPr>
          <w:p w14:paraId="066A2902">
            <w:pPr>
              <w:rPr>
                <w:color w:val="auto"/>
              </w:rPr>
            </w:pPr>
          </w:p>
        </w:tc>
        <w:tc>
          <w:tcPr>
            <w:tcW w:w="1385" w:type="dxa"/>
            <w:tcBorders>
              <w:top w:val="single" w:color="auto" w:sz="4" w:space="0"/>
              <w:left w:val="nil"/>
              <w:bottom w:val="single" w:color="auto" w:sz="4" w:space="0"/>
              <w:right w:val="single" w:color="auto" w:sz="4" w:space="0"/>
            </w:tcBorders>
            <w:vAlign w:val="center"/>
          </w:tcPr>
          <w:p w14:paraId="31B3EBF2">
            <w:pPr>
              <w:rPr>
                <w:color w:val="auto"/>
              </w:rPr>
            </w:pPr>
          </w:p>
        </w:tc>
      </w:tr>
      <w:tr w14:paraId="5C71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76D820DC">
            <w:pPr>
              <w:rPr>
                <w:color w:val="auto"/>
              </w:rPr>
            </w:pPr>
            <w:r>
              <w:rPr>
                <w:rFonts w:hint="eastAsia"/>
                <w:color w:val="auto"/>
              </w:rPr>
              <w:t>场馆管理</w:t>
            </w:r>
          </w:p>
        </w:tc>
      </w:tr>
      <w:tr w14:paraId="31A0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A761184">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6E8A9B77">
            <w:pPr>
              <w:rPr>
                <w:color w:val="auto"/>
              </w:rPr>
            </w:pPr>
            <w:r>
              <w:rPr>
                <w:rFonts w:hint="eastAsia"/>
                <w:color w:val="auto"/>
              </w:rPr>
              <w:t>场馆校外人员预约平台：实现校外人员预约功能，预约在线审批。</w:t>
            </w:r>
          </w:p>
        </w:tc>
        <w:tc>
          <w:tcPr>
            <w:tcW w:w="1134" w:type="dxa"/>
            <w:tcBorders>
              <w:top w:val="single" w:color="auto" w:sz="4" w:space="0"/>
              <w:left w:val="nil"/>
              <w:bottom w:val="single" w:color="auto" w:sz="4" w:space="0"/>
              <w:right w:val="single" w:color="auto" w:sz="4" w:space="0"/>
            </w:tcBorders>
            <w:vAlign w:val="center"/>
          </w:tcPr>
          <w:p w14:paraId="567B0C01">
            <w:pPr>
              <w:rPr>
                <w:color w:val="auto"/>
              </w:rPr>
            </w:pPr>
          </w:p>
        </w:tc>
        <w:tc>
          <w:tcPr>
            <w:tcW w:w="1134" w:type="dxa"/>
            <w:tcBorders>
              <w:top w:val="single" w:color="auto" w:sz="4" w:space="0"/>
              <w:left w:val="nil"/>
              <w:bottom w:val="single" w:color="auto" w:sz="4" w:space="0"/>
              <w:right w:val="single" w:color="auto" w:sz="4" w:space="0"/>
            </w:tcBorders>
            <w:vAlign w:val="center"/>
          </w:tcPr>
          <w:p w14:paraId="4988723B">
            <w:pPr>
              <w:rPr>
                <w:color w:val="auto"/>
              </w:rPr>
            </w:pPr>
          </w:p>
        </w:tc>
        <w:tc>
          <w:tcPr>
            <w:tcW w:w="1385" w:type="dxa"/>
            <w:tcBorders>
              <w:top w:val="single" w:color="auto" w:sz="4" w:space="0"/>
              <w:left w:val="nil"/>
              <w:bottom w:val="single" w:color="auto" w:sz="4" w:space="0"/>
              <w:right w:val="single" w:color="auto" w:sz="4" w:space="0"/>
            </w:tcBorders>
            <w:vAlign w:val="center"/>
          </w:tcPr>
          <w:p w14:paraId="1293228B">
            <w:pPr>
              <w:rPr>
                <w:color w:val="auto"/>
              </w:rPr>
            </w:pPr>
          </w:p>
        </w:tc>
      </w:tr>
      <w:tr w14:paraId="22F7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065FC43C">
            <w:pPr>
              <w:rPr>
                <w:color w:val="auto"/>
              </w:rPr>
            </w:pPr>
            <w:r>
              <w:rPr>
                <w:rFonts w:hint="eastAsia"/>
                <w:color w:val="auto"/>
              </w:rPr>
              <w:t>安全管理</w:t>
            </w:r>
          </w:p>
        </w:tc>
      </w:tr>
      <w:tr w14:paraId="64EE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91857A4">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55E6F6BC">
            <w:pPr>
              <w:rPr>
                <w:color w:val="auto"/>
              </w:rPr>
            </w:pPr>
            <w:r>
              <w:rPr>
                <w:rFonts w:hint="eastAsia"/>
                <w:color w:val="auto"/>
              </w:rPr>
              <w:t>设备巡检：设施设备日常管理、巡视及维护管理方面实现在线化管理。</w:t>
            </w:r>
          </w:p>
        </w:tc>
        <w:tc>
          <w:tcPr>
            <w:tcW w:w="1134" w:type="dxa"/>
            <w:tcBorders>
              <w:top w:val="single" w:color="auto" w:sz="4" w:space="0"/>
              <w:left w:val="nil"/>
              <w:bottom w:val="single" w:color="auto" w:sz="4" w:space="0"/>
              <w:right w:val="single" w:color="auto" w:sz="4" w:space="0"/>
            </w:tcBorders>
            <w:vAlign w:val="center"/>
          </w:tcPr>
          <w:p w14:paraId="18946111">
            <w:pPr>
              <w:rPr>
                <w:color w:val="auto"/>
              </w:rPr>
            </w:pPr>
          </w:p>
        </w:tc>
        <w:tc>
          <w:tcPr>
            <w:tcW w:w="1134" w:type="dxa"/>
            <w:tcBorders>
              <w:top w:val="single" w:color="auto" w:sz="4" w:space="0"/>
              <w:left w:val="nil"/>
              <w:bottom w:val="single" w:color="auto" w:sz="4" w:space="0"/>
              <w:right w:val="single" w:color="auto" w:sz="4" w:space="0"/>
            </w:tcBorders>
            <w:vAlign w:val="center"/>
          </w:tcPr>
          <w:p w14:paraId="0F5C89B1">
            <w:pPr>
              <w:rPr>
                <w:color w:val="auto"/>
              </w:rPr>
            </w:pPr>
          </w:p>
        </w:tc>
        <w:tc>
          <w:tcPr>
            <w:tcW w:w="1385" w:type="dxa"/>
            <w:tcBorders>
              <w:top w:val="single" w:color="auto" w:sz="4" w:space="0"/>
              <w:left w:val="nil"/>
              <w:bottom w:val="single" w:color="auto" w:sz="4" w:space="0"/>
              <w:right w:val="single" w:color="auto" w:sz="4" w:space="0"/>
            </w:tcBorders>
            <w:vAlign w:val="center"/>
          </w:tcPr>
          <w:p w14:paraId="6C1B0DD6">
            <w:pPr>
              <w:rPr>
                <w:color w:val="auto"/>
              </w:rPr>
            </w:pPr>
          </w:p>
        </w:tc>
      </w:tr>
      <w:tr w14:paraId="7541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3E1A638">
            <w:pPr>
              <w:rPr>
                <w:color w:val="auto"/>
              </w:rPr>
            </w:pPr>
            <w:r>
              <w:rPr>
                <w:rFonts w:hint="eastAsia"/>
                <w:color w:val="auto"/>
              </w:rPr>
              <w:t>2</w:t>
            </w:r>
          </w:p>
        </w:tc>
        <w:tc>
          <w:tcPr>
            <w:tcW w:w="5810" w:type="dxa"/>
            <w:tcBorders>
              <w:top w:val="single" w:color="auto" w:sz="4" w:space="0"/>
              <w:left w:val="nil"/>
              <w:bottom w:val="single" w:color="auto" w:sz="4" w:space="0"/>
              <w:right w:val="single" w:color="auto" w:sz="4" w:space="0"/>
            </w:tcBorders>
            <w:vAlign w:val="center"/>
          </w:tcPr>
          <w:p w14:paraId="72B2861C">
            <w:pPr>
              <w:rPr>
                <w:color w:val="auto"/>
              </w:rPr>
            </w:pPr>
            <w:r>
              <w:rPr>
                <w:rFonts w:hint="eastAsia"/>
                <w:color w:val="auto"/>
              </w:rPr>
              <w:t>人员数字化排班：依据需求合理安排人员工作时间。精确记录出勤情况。</w:t>
            </w:r>
          </w:p>
        </w:tc>
        <w:tc>
          <w:tcPr>
            <w:tcW w:w="1134" w:type="dxa"/>
            <w:tcBorders>
              <w:top w:val="single" w:color="auto" w:sz="4" w:space="0"/>
              <w:left w:val="nil"/>
              <w:bottom w:val="single" w:color="auto" w:sz="4" w:space="0"/>
              <w:right w:val="single" w:color="auto" w:sz="4" w:space="0"/>
            </w:tcBorders>
            <w:vAlign w:val="center"/>
          </w:tcPr>
          <w:p w14:paraId="45CFE339">
            <w:pPr>
              <w:rPr>
                <w:color w:val="auto"/>
              </w:rPr>
            </w:pPr>
          </w:p>
        </w:tc>
        <w:tc>
          <w:tcPr>
            <w:tcW w:w="1134" w:type="dxa"/>
            <w:tcBorders>
              <w:top w:val="single" w:color="auto" w:sz="4" w:space="0"/>
              <w:left w:val="nil"/>
              <w:bottom w:val="single" w:color="auto" w:sz="4" w:space="0"/>
              <w:right w:val="single" w:color="auto" w:sz="4" w:space="0"/>
            </w:tcBorders>
            <w:vAlign w:val="center"/>
          </w:tcPr>
          <w:p w14:paraId="534CCFB5">
            <w:pPr>
              <w:rPr>
                <w:color w:val="auto"/>
              </w:rPr>
            </w:pPr>
          </w:p>
        </w:tc>
        <w:tc>
          <w:tcPr>
            <w:tcW w:w="1385" w:type="dxa"/>
            <w:tcBorders>
              <w:top w:val="single" w:color="auto" w:sz="4" w:space="0"/>
              <w:left w:val="nil"/>
              <w:bottom w:val="single" w:color="auto" w:sz="4" w:space="0"/>
              <w:right w:val="single" w:color="auto" w:sz="4" w:space="0"/>
            </w:tcBorders>
            <w:vAlign w:val="center"/>
          </w:tcPr>
          <w:p w14:paraId="44C92FF7">
            <w:pPr>
              <w:rPr>
                <w:color w:val="auto"/>
              </w:rPr>
            </w:pPr>
          </w:p>
        </w:tc>
      </w:tr>
      <w:tr w14:paraId="7983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D7D654B">
            <w:pPr>
              <w:rPr>
                <w:color w:val="auto"/>
              </w:rPr>
            </w:pPr>
            <w:r>
              <w:rPr>
                <w:rFonts w:hint="eastAsia"/>
                <w:color w:val="auto"/>
              </w:rPr>
              <w:t>3</w:t>
            </w:r>
          </w:p>
        </w:tc>
        <w:tc>
          <w:tcPr>
            <w:tcW w:w="5810" w:type="dxa"/>
            <w:tcBorders>
              <w:top w:val="single" w:color="auto" w:sz="4" w:space="0"/>
              <w:left w:val="nil"/>
              <w:bottom w:val="single" w:color="auto" w:sz="4" w:space="0"/>
              <w:right w:val="single" w:color="auto" w:sz="4" w:space="0"/>
            </w:tcBorders>
            <w:vAlign w:val="center"/>
          </w:tcPr>
          <w:p w14:paraId="4EA3F3D8">
            <w:pPr>
              <w:rPr>
                <w:color w:val="auto"/>
              </w:rPr>
            </w:pPr>
            <w:r>
              <w:rPr>
                <w:rFonts w:hint="eastAsia"/>
                <w:color w:val="auto"/>
              </w:rPr>
              <w:t>环境监测：卫生清洁情况线上化巡检，根据安全风险问题总结分析相应原因，形成整改措施。</w:t>
            </w:r>
          </w:p>
        </w:tc>
        <w:tc>
          <w:tcPr>
            <w:tcW w:w="1134" w:type="dxa"/>
            <w:tcBorders>
              <w:top w:val="single" w:color="auto" w:sz="4" w:space="0"/>
              <w:left w:val="nil"/>
              <w:bottom w:val="single" w:color="auto" w:sz="4" w:space="0"/>
              <w:right w:val="single" w:color="auto" w:sz="4" w:space="0"/>
            </w:tcBorders>
            <w:vAlign w:val="center"/>
          </w:tcPr>
          <w:p w14:paraId="02CE7A37">
            <w:pPr>
              <w:rPr>
                <w:color w:val="auto"/>
              </w:rPr>
            </w:pPr>
          </w:p>
        </w:tc>
        <w:tc>
          <w:tcPr>
            <w:tcW w:w="1134" w:type="dxa"/>
            <w:tcBorders>
              <w:top w:val="single" w:color="auto" w:sz="4" w:space="0"/>
              <w:left w:val="nil"/>
              <w:bottom w:val="single" w:color="auto" w:sz="4" w:space="0"/>
              <w:right w:val="single" w:color="auto" w:sz="4" w:space="0"/>
            </w:tcBorders>
            <w:vAlign w:val="center"/>
          </w:tcPr>
          <w:p w14:paraId="4633542A">
            <w:pPr>
              <w:rPr>
                <w:color w:val="auto"/>
              </w:rPr>
            </w:pPr>
          </w:p>
        </w:tc>
        <w:tc>
          <w:tcPr>
            <w:tcW w:w="1385" w:type="dxa"/>
            <w:tcBorders>
              <w:top w:val="single" w:color="auto" w:sz="4" w:space="0"/>
              <w:left w:val="nil"/>
              <w:bottom w:val="single" w:color="auto" w:sz="4" w:space="0"/>
              <w:right w:val="single" w:color="auto" w:sz="4" w:space="0"/>
            </w:tcBorders>
            <w:vAlign w:val="center"/>
          </w:tcPr>
          <w:p w14:paraId="3A30B457">
            <w:pPr>
              <w:rPr>
                <w:color w:val="auto"/>
              </w:rPr>
            </w:pPr>
          </w:p>
        </w:tc>
      </w:tr>
      <w:tr w14:paraId="35FF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A3C4A66">
            <w:pPr>
              <w:rPr>
                <w:color w:val="auto"/>
              </w:rPr>
            </w:pPr>
            <w:r>
              <w:rPr>
                <w:rFonts w:hint="eastAsia"/>
                <w:color w:val="auto"/>
              </w:rPr>
              <w:t>设施管理</w:t>
            </w:r>
          </w:p>
        </w:tc>
      </w:tr>
      <w:tr w14:paraId="5475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47F8A73">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7BEF2B2D">
            <w:pPr>
              <w:rPr>
                <w:color w:val="auto"/>
              </w:rPr>
            </w:pPr>
            <w:r>
              <w:rPr>
                <w:rFonts w:hint="eastAsia"/>
                <w:color w:val="auto"/>
              </w:rPr>
              <w:t>设备巡检与维保单位维保：设施设备（除安全设施外）日常管理、巡视及维护管理方面实现在线化管理。比如电梯维保、健身器材维保等。</w:t>
            </w:r>
          </w:p>
        </w:tc>
        <w:tc>
          <w:tcPr>
            <w:tcW w:w="1134" w:type="dxa"/>
            <w:tcBorders>
              <w:top w:val="single" w:color="auto" w:sz="4" w:space="0"/>
              <w:left w:val="nil"/>
              <w:bottom w:val="single" w:color="auto" w:sz="4" w:space="0"/>
              <w:right w:val="single" w:color="auto" w:sz="4" w:space="0"/>
            </w:tcBorders>
            <w:vAlign w:val="center"/>
          </w:tcPr>
          <w:p w14:paraId="21584F8A">
            <w:pPr>
              <w:rPr>
                <w:color w:val="auto"/>
              </w:rPr>
            </w:pPr>
          </w:p>
        </w:tc>
        <w:tc>
          <w:tcPr>
            <w:tcW w:w="1134" w:type="dxa"/>
            <w:tcBorders>
              <w:top w:val="single" w:color="auto" w:sz="4" w:space="0"/>
              <w:left w:val="nil"/>
              <w:bottom w:val="single" w:color="auto" w:sz="4" w:space="0"/>
              <w:right w:val="single" w:color="auto" w:sz="4" w:space="0"/>
            </w:tcBorders>
            <w:vAlign w:val="center"/>
          </w:tcPr>
          <w:p w14:paraId="53F03414">
            <w:pPr>
              <w:rPr>
                <w:color w:val="auto"/>
              </w:rPr>
            </w:pPr>
          </w:p>
        </w:tc>
        <w:tc>
          <w:tcPr>
            <w:tcW w:w="1385" w:type="dxa"/>
            <w:tcBorders>
              <w:top w:val="single" w:color="auto" w:sz="4" w:space="0"/>
              <w:left w:val="nil"/>
              <w:bottom w:val="single" w:color="auto" w:sz="4" w:space="0"/>
              <w:right w:val="single" w:color="auto" w:sz="4" w:space="0"/>
            </w:tcBorders>
            <w:vAlign w:val="center"/>
          </w:tcPr>
          <w:p w14:paraId="410AC007">
            <w:pPr>
              <w:rPr>
                <w:color w:val="auto"/>
              </w:rPr>
            </w:pPr>
          </w:p>
        </w:tc>
      </w:tr>
      <w:tr w14:paraId="2101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FBF17CF">
            <w:pPr>
              <w:rPr>
                <w:color w:val="auto"/>
              </w:rPr>
            </w:pPr>
            <w:r>
              <w:rPr>
                <w:rFonts w:hint="eastAsia"/>
                <w:color w:val="auto"/>
              </w:rPr>
              <w:t>环境管理</w:t>
            </w:r>
          </w:p>
        </w:tc>
      </w:tr>
      <w:tr w14:paraId="3E89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78F5E22">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621B0C5A">
            <w:pPr>
              <w:rPr>
                <w:color w:val="auto"/>
              </w:rPr>
            </w:pPr>
            <w:r>
              <w:rPr>
                <w:rFonts w:hint="eastAsia"/>
                <w:color w:val="auto"/>
              </w:rPr>
              <w:t>环境监测：卫生清洁情况线上化巡检，根据安全风险问题总结分析相应原因，形成整改措施。按频次及时上传如卫生间、楼顶、地下室、楼宇外围、出入口、垃圾存放点等部位打扫或巡查的状况。</w:t>
            </w:r>
          </w:p>
        </w:tc>
        <w:tc>
          <w:tcPr>
            <w:tcW w:w="1134" w:type="dxa"/>
            <w:tcBorders>
              <w:top w:val="single" w:color="auto" w:sz="4" w:space="0"/>
              <w:left w:val="nil"/>
              <w:bottom w:val="single" w:color="auto" w:sz="4" w:space="0"/>
              <w:right w:val="single" w:color="auto" w:sz="4" w:space="0"/>
            </w:tcBorders>
            <w:vAlign w:val="center"/>
          </w:tcPr>
          <w:p w14:paraId="42B5B5E8">
            <w:pPr>
              <w:rPr>
                <w:color w:val="auto"/>
              </w:rPr>
            </w:pPr>
          </w:p>
        </w:tc>
        <w:tc>
          <w:tcPr>
            <w:tcW w:w="1134" w:type="dxa"/>
            <w:tcBorders>
              <w:top w:val="single" w:color="auto" w:sz="4" w:space="0"/>
              <w:left w:val="nil"/>
              <w:bottom w:val="single" w:color="auto" w:sz="4" w:space="0"/>
              <w:right w:val="single" w:color="auto" w:sz="4" w:space="0"/>
            </w:tcBorders>
            <w:vAlign w:val="center"/>
          </w:tcPr>
          <w:p w14:paraId="50105D9F">
            <w:pPr>
              <w:rPr>
                <w:color w:val="auto"/>
              </w:rPr>
            </w:pPr>
          </w:p>
        </w:tc>
        <w:tc>
          <w:tcPr>
            <w:tcW w:w="1385" w:type="dxa"/>
            <w:tcBorders>
              <w:top w:val="single" w:color="auto" w:sz="4" w:space="0"/>
              <w:left w:val="nil"/>
              <w:bottom w:val="single" w:color="auto" w:sz="4" w:space="0"/>
              <w:right w:val="single" w:color="auto" w:sz="4" w:space="0"/>
            </w:tcBorders>
            <w:vAlign w:val="center"/>
          </w:tcPr>
          <w:p w14:paraId="1EE47C86">
            <w:pPr>
              <w:rPr>
                <w:color w:val="auto"/>
              </w:rPr>
            </w:pPr>
          </w:p>
        </w:tc>
      </w:tr>
      <w:tr w14:paraId="6AC6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49660B26">
            <w:pPr>
              <w:rPr>
                <w:color w:val="auto"/>
              </w:rPr>
            </w:pPr>
            <w:r>
              <w:rPr>
                <w:rFonts w:hint="eastAsia"/>
                <w:color w:val="auto"/>
              </w:rPr>
              <w:t>三）流程管理</w:t>
            </w:r>
          </w:p>
        </w:tc>
      </w:tr>
      <w:tr w14:paraId="4C31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60738E93">
            <w:pPr>
              <w:rPr>
                <w:color w:val="auto"/>
              </w:rPr>
            </w:pPr>
            <w:r>
              <w:rPr>
                <w:rFonts w:hint="eastAsia"/>
                <w:color w:val="auto"/>
              </w:rPr>
              <w:t>采购管理</w:t>
            </w:r>
          </w:p>
        </w:tc>
      </w:tr>
      <w:tr w14:paraId="1581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1EEC93B">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60AA9EBE">
            <w:pPr>
              <w:rPr>
                <w:color w:val="auto"/>
              </w:rPr>
            </w:pPr>
            <w:r>
              <w:rPr>
                <w:rFonts w:hint="eastAsia"/>
                <w:color w:val="auto"/>
              </w:rPr>
              <w:t>流程管控。实现采购全流程的控制，按不同金额设置不同的流程。上一流程未通过不得进入下一流程，上一流程通过后自动进入下一流程。</w:t>
            </w:r>
          </w:p>
        </w:tc>
        <w:tc>
          <w:tcPr>
            <w:tcW w:w="1134" w:type="dxa"/>
            <w:tcBorders>
              <w:top w:val="single" w:color="auto" w:sz="4" w:space="0"/>
              <w:left w:val="nil"/>
              <w:bottom w:val="single" w:color="auto" w:sz="4" w:space="0"/>
              <w:right w:val="single" w:color="auto" w:sz="4" w:space="0"/>
            </w:tcBorders>
            <w:vAlign w:val="center"/>
          </w:tcPr>
          <w:p w14:paraId="0C98D5B7">
            <w:pPr>
              <w:rPr>
                <w:color w:val="auto"/>
              </w:rPr>
            </w:pPr>
          </w:p>
        </w:tc>
        <w:tc>
          <w:tcPr>
            <w:tcW w:w="1134" w:type="dxa"/>
            <w:tcBorders>
              <w:top w:val="single" w:color="auto" w:sz="4" w:space="0"/>
              <w:left w:val="nil"/>
              <w:bottom w:val="single" w:color="auto" w:sz="4" w:space="0"/>
              <w:right w:val="single" w:color="auto" w:sz="4" w:space="0"/>
            </w:tcBorders>
            <w:vAlign w:val="center"/>
          </w:tcPr>
          <w:p w14:paraId="5E4B762A">
            <w:pPr>
              <w:rPr>
                <w:color w:val="auto"/>
              </w:rPr>
            </w:pPr>
          </w:p>
        </w:tc>
        <w:tc>
          <w:tcPr>
            <w:tcW w:w="1385" w:type="dxa"/>
            <w:tcBorders>
              <w:top w:val="single" w:color="auto" w:sz="4" w:space="0"/>
              <w:left w:val="nil"/>
              <w:bottom w:val="single" w:color="auto" w:sz="4" w:space="0"/>
              <w:right w:val="single" w:color="auto" w:sz="4" w:space="0"/>
            </w:tcBorders>
            <w:vAlign w:val="center"/>
          </w:tcPr>
          <w:p w14:paraId="10011B4D">
            <w:pPr>
              <w:rPr>
                <w:color w:val="auto"/>
              </w:rPr>
            </w:pPr>
          </w:p>
        </w:tc>
      </w:tr>
      <w:tr w14:paraId="3C41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5680B31">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53820495">
            <w:pPr>
              <w:rPr>
                <w:color w:val="auto"/>
              </w:rPr>
            </w:pPr>
            <w:r>
              <w:rPr>
                <w:rFonts w:hint="eastAsia"/>
                <w:color w:val="auto"/>
              </w:rPr>
              <w:t>形成清单。按不同金额或选择性功能自动生成年度、月度招采工作清单。</w:t>
            </w:r>
          </w:p>
        </w:tc>
        <w:tc>
          <w:tcPr>
            <w:tcW w:w="1134" w:type="dxa"/>
            <w:tcBorders>
              <w:top w:val="single" w:color="auto" w:sz="4" w:space="0"/>
              <w:left w:val="nil"/>
              <w:bottom w:val="single" w:color="auto" w:sz="4" w:space="0"/>
              <w:right w:val="single" w:color="auto" w:sz="4" w:space="0"/>
            </w:tcBorders>
            <w:vAlign w:val="center"/>
          </w:tcPr>
          <w:p w14:paraId="3DF6A14B">
            <w:pPr>
              <w:rPr>
                <w:color w:val="auto"/>
              </w:rPr>
            </w:pPr>
          </w:p>
        </w:tc>
        <w:tc>
          <w:tcPr>
            <w:tcW w:w="1134" w:type="dxa"/>
            <w:tcBorders>
              <w:top w:val="single" w:color="auto" w:sz="4" w:space="0"/>
              <w:left w:val="nil"/>
              <w:bottom w:val="single" w:color="auto" w:sz="4" w:space="0"/>
              <w:right w:val="single" w:color="auto" w:sz="4" w:space="0"/>
            </w:tcBorders>
            <w:vAlign w:val="center"/>
          </w:tcPr>
          <w:p w14:paraId="399699EE">
            <w:pPr>
              <w:rPr>
                <w:color w:val="auto"/>
              </w:rPr>
            </w:pPr>
          </w:p>
        </w:tc>
        <w:tc>
          <w:tcPr>
            <w:tcW w:w="1385" w:type="dxa"/>
            <w:tcBorders>
              <w:top w:val="single" w:color="auto" w:sz="4" w:space="0"/>
              <w:left w:val="nil"/>
              <w:bottom w:val="single" w:color="auto" w:sz="4" w:space="0"/>
              <w:right w:val="single" w:color="auto" w:sz="4" w:space="0"/>
            </w:tcBorders>
            <w:vAlign w:val="center"/>
          </w:tcPr>
          <w:p w14:paraId="619C1793">
            <w:pPr>
              <w:rPr>
                <w:color w:val="auto"/>
              </w:rPr>
            </w:pPr>
          </w:p>
        </w:tc>
      </w:tr>
      <w:tr w14:paraId="44A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131BFD9">
            <w:pPr>
              <w:pStyle w:val="40"/>
            </w:pPr>
            <w:r>
              <w:rPr>
                <w:rFonts w:hint="eastAsia"/>
              </w:rPr>
              <w:t>3</w:t>
            </w:r>
          </w:p>
        </w:tc>
        <w:tc>
          <w:tcPr>
            <w:tcW w:w="5810" w:type="dxa"/>
            <w:tcBorders>
              <w:top w:val="single" w:color="auto" w:sz="4" w:space="0"/>
              <w:left w:val="nil"/>
              <w:bottom w:val="single" w:color="auto" w:sz="4" w:space="0"/>
              <w:right w:val="single" w:color="auto" w:sz="4" w:space="0"/>
            </w:tcBorders>
            <w:vAlign w:val="center"/>
          </w:tcPr>
          <w:p w14:paraId="5C99AD70">
            <w:pPr>
              <w:rPr>
                <w:color w:val="auto"/>
              </w:rPr>
            </w:pPr>
            <w:r>
              <w:rPr>
                <w:rFonts w:hint="eastAsia"/>
                <w:color w:val="auto"/>
              </w:rPr>
              <w:t>预警提醒。1）对续签合同的情形按类别设置提前提醒。2）对待启动的招采工作进行立项。3）以不同颜色设置不同情形的预警。已立项待启动的项目显示黄色，已启动但未完成的项目显示橙色，全流程结束显示绿色，归档完成显示黑色。各流程之间的颜色自动切换。</w:t>
            </w:r>
          </w:p>
        </w:tc>
        <w:tc>
          <w:tcPr>
            <w:tcW w:w="1134" w:type="dxa"/>
            <w:tcBorders>
              <w:top w:val="single" w:color="auto" w:sz="4" w:space="0"/>
              <w:left w:val="nil"/>
              <w:bottom w:val="single" w:color="auto" w:sz="4" w:space="0"/>
              <w:right w:val="single" w:color="auto" w:sz="4" w:space="0"/>
            </w:tcBorders>
            <w:vAlign w:val="center"/>
          </w:tcPr>
          <w:p w14:paraId="0E9F9814">
            <w:pPr>
              <w:rPr>
                <w:color w:val="auto"/>
              </w:rPr>
            </w:pPr>
          </w:p>
        </w:tc>
        <w:tc>
          <w:tcPr>
            <w:tcW w:w="1134" w:type="dxa"/>
            <w:tcBorders>
              <w:top w:val="single" w:color="auto" w:sz="4" w:space="0"/>
              <w:left w:val="nil"/>
              <w:bottom w:val="single" w:color="auto" w:sz="4" w:space="0"/>
              <w:right w:val="single" w:color="auto" w:sz="4" w:space="0"/>
            </w:tcBorders>
            <w:vAlign w:val="center"/>
          </w:tcPr>
          <w:p w14:paraId="1B99EA72">
            <w:pPr>
              <w:rPr>
                <w:color w:val="auto"/>
              </w:rPr>
            </w:pPr>
          </w:p>
        </w:tc>
        <w:tc>
          <w:tcPr>
            <w:tcW w:w="1385" w:type="dxa"/>
            <w:tcBorders>
              <w:top w:val="single" w:color="auto" w:sz="4" w:space="0"/>
              <w:left w:val="nil"/>
              <w:bottom w:val="single" w:color="auto" w:sz="4" w:space="0"/>
              <w:right w:val="single" w:color="auto" w:sz="4" w:space="0"/>
            </w:tcBorders>
            <w:vAlign w:val="center"/>
          </w:tcPr>
          <w:p w14:paraId="7AC3CD36">
            <w:pPr>
              <w:rPr>
                <w:color w:val="auto"/>
              </w:rPr>
            </w:pPr>
          </w:p>
        </w:tc>
      </w:tr>
      <w:tr w14:paraId="305A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4FC0092">
            <w:pPr>
              <w:pStyle w:val="40"/>
            </w:pPr>
            <w:r>
              <w:rPr>
                <w:rFonts w:hint="eastAsia"/>
              </w:rPr>
              <w:t>4</w:t>
            </w:r>
          </w:p>
        </w:tc>
        <w:tc>
          <w:tcPr>
            <w:tcW w:w="5810" w:type="dxa"/>
            <w:tcBorders>
              <w:top w:val="single" w:color="auto" w:sz="4" w:space="0"/>
              <w:left w:val="nil"/>
              <w:bottom w:val="single" w:color="auto" w:sz="4" w:space="0"/>
              <w:right w:val="single" w:color="auto" w:sz="4" w:space="0"/>
            </w:tcBorders>
            <w:vAlign w:val="center"/>
          </w:tcPr>
          <w:p w14:paraId="02AEE837">
            <w:pPr>
              <w:rPr>
                <w:color w:val="auto"/>
              </w:rPr>
            </w:pPr>
            <w:r>
              <w:rPr>
                <w:rFonts w:hint="eastAsia"/>
                <w:color w:val="auto"/>
              </w:rPr>
              <w:t>自动归档。全流程完成后，可一键生成文档，便于归档。</w:t>
            </w:r>
          </w:p>
        </w:tc>
        <w:tc>
          <w:tcPr>
            <w:tcW w:w="1134" w:type="dxa"/>
            <w:tcBorders>
              <w:top w:val="single" w:color="auto" w:sz="4" w:space="0"/>
              <w:left w:val="nil"/>
              <w:bottom w:val="single" w:color="auto" w:sz="4" w:space="0"/>
              <w:right w:val="single" w:color="auto" w:sz="4" w:space="0"/>
            </w:tcBorders>
            <w:vAlign w:val="center"/>
          </w:tcPr>
          <w:p w14:paraId="0B0F2D2C">
            <w:pPr>
              <w:rPr>
                <w:color w:val="auto"/>
              </w:rPr>
            </w:pPr>
          </w:p>
        </w:tc>
        <w:tc>
          <w:tcPr>
            <w:tcW w:w="1134" w:type="dxa"/>
            <w:tcBorders>
              <w:top w:val="single" w:color="auto" w:sz="4" w:space="0"/>
              <w:left w:val="nil"/>
              <w:bottom w:val="single" w:color="auto" w:sz="4" w:space="0"/>
              <w:right w:val="single" w:color="auto" w:sz="4" w:space="0"/>
            </w:tcBorders>
            <w:vAlign w:val="center"/>
          </w:tcPr>
          <w:p w14:paraId="6044A463">
            <w:pPr>
              <w:rPr>
                <w:color w:val="auto"/>
              </w:rPr>
            </w:pPr>
          </w:p>
        </w:tc>
        <w:tc>
          <w:tcPr>
            <w:tcW w:w="1385" w:type="dxa"/>
            <w:tcBorders>
              <w:top w:val="single" w:color="auto" w:sz="4" w:space="0"/>
              <w:left w:val="nil"/>
              <w:bottom w:val="single" w:color="auto" w:sz="4" w:space="0"/>
              <w:right w:val="single" w:color="auto" w:sz="4" w:space="0"/>
            </w:tcBorders>
            <w:vAlign w:val="center"/>
          </w:tcPr>
          <w:p w14:paraId="44634BA9">
            <w:pPr>
              <w:rPr>
                <w:color w:val="auto"/>
              </w:rPr>
            </w:pPr>
          </w:p>
        </w:tc>
      </w:tr>
      <w:tr w14:paraId="2469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1A9D6CF3">
            <w:pPr>
              <w:rPr>
                <w:color w:val="auto"/>
              </w:rPr>
            </w:pPr>
            <w:r>
              <w:rPr>
                <w:rFonts w:hint="eastAsia"/>
                <w:color w:val="auto"/>
              </w:rPr>
              <w:t>物资管理</w:t>
            </w:r>
          </w:p>
        </w:tc>
      </w:tr>
      <w:tr w14:paraId="0007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C4E289F">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5D795AC4">
            <w:pPr>
              <w:rPr>
                <w:color w:val="auto"/>
              </w:rPr>
            </w:pPr>
            <w:r>
              <w:rPr>
                <w:rFonts w:hint="eastAsia"/>
                <w:color w:val="auto"/>
              </w:rPr>
              <w:t>实时掌握物资存储与使用情况，形成采购需求申报，评估确定、库存管理、申领管理等模块。建立部门和领用人个人的年度、月度申购领用数据。</w:t>
            </w:r>
          </w:p>
        </w:tc>
        <w:tc>
          <w:tcPr>
            <w:tcW w:w="1134" w:type="dxa"/>
            <w:tcBorders>
              <w:top w:val="single" w:color="auto" w:sz="4" w:space="0"/>
              <w:left w:val="nil"/>
              <w:bottom w:val="single" w:color="auto" w:sz="4" w:space="0"/>
              <w:right w:val="single" w:color="auto" w:sz="4" w:space="0"/>
            </w:tcBorders>
            <w:vAlign w:val="center"/>
          </w:tcPr>
          <w:p w14:paraId="139BE68D">
            <w:pPr>
              <w:rPr>
                <w:color w:val="auto"/>
              </w:rPr>
            </w:pPr>
          </w:p>
        </w:tc>
        <w:tc>
          <w:tcPr>
            <w:tcW w:w="1134" w:type="dxa"/>
            <w:tcBorders>
              <w:top w:val="single" w:color="auto" w:sz="4" w:space="0"/>
              <w:left w:val="nil"/>
              <w:bottom w:val="single" w:color="auto" w:sz="4" w:space="0"/>
              <w:right w:val="single" w:color="auto" w:sz="4" w:space="0"/>
            </w:tcBorders>
            <w:vAlign w:val="center"/>
          </w:tcPr>
          <w:p w14:paraId="5EE85E6D">
            <w:pPr>
              <w:rPr>
                <w:color w:val="auto"/>
              </w:rPr>
            </w:pPr>
          </w:p>
        </w:tc>
        <w:tc>
          <w:tcPr>
            <w:tcW w:w="1385" w:type="dxa"/>
            <w:tcBorders>
              <w:top w:val="single" w:color="auto" w:sz="4" w:space="0"/>
              <w:left w:val="nil"/>
              <w:bottom w:val="single" w:color="auto" w:sz="4" w:space="0"/>
              <w:right w:val="single" w:color="auto" w:sz="4" w:space="0"/>
            </w:tcBorders>
            <w:vAlign w:val="center"/>
          </w:tcPr>
          <w:p w14:paraId="137B6613">
            <w:pPr>
              <w:rPr>
                <w:color w:val="auto"/>
              </w:rPr>
            </w:pPr>
          </w:p>
        </w:tc>
      </w:tr>
      <w:tr w14:paraId="19D2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F5E258A">
            <w:pPr>
              <w:rPr>
                <w:color w:val="auto"/>
              </w:rPr>
            </w:pPr>
            <w:r>
              <w:rPr>
                <w:rFonts w:hint="eastAsia"/>
                <w:color w:val="auto"/>
              </w:rPr>
              <w:t>合同管理</w:t>
            </w:r>
          </w:p>
        </w:tc>
      </w:tr>
      <w:tr w14:paraId="2D30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CDFF0B0">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46217B62">
            <w:pPr>
              <w:rPr>
                <w:color w:val="auto"/>
              </w:rPr>
            </w:pPr>
            <w:r>
              <w:rPr>
                <w:rFonts w:hint="eastAsia"/>
                <w:color w:val="auto"/>
              </w:rPr>
              <w:t>流程管控、预警功能、形成年度清单、下载与生成文档。</w:t>
            </w:r>
          </w:p>
        </w:tc>
        <w:tc>
          <w:tcPr>
            <w:tcW w:w="1134" w:type="dxa"/>
            <w:tcBorders>
              <w:top w:val="single" w:color="auto" w:sz="4" w:space="0"/>
              <w:left w:val="nil"/>
              <w:bottom w:val="single" w:color="auto" w:sz="4" w:space="0"/>
              <w:right w:val="single" w:color="auto" w:sz="4" w:space="0"/>
            </w:tcBorders>
            <w:vAlign w:val="center"/>
          </w:tcPr>
          <w:p w14:paraId="0D874A94">
            <w:pPr>
              <w:rPr>
                <w:color w:val="auto"/>
              </w:rPr>
            </w:pPr>
          </w:p>
        </w:tc>
        <w:tc>
          <w:tcPr>
            <w:tcW w:w="1134" w:type="dxa"/>
            <w:tcBorders>
              <w:top w:val="single" w:color="auto" w:sz="4" w:space="0"/>
              <w:left w:val="nil"/>
              <w:bottom w:val="single" w:color="auto" w:sz="4" w:space="0"/>
              <w:right w:val="single" w:color="auto" w:sz="4" w:space="0"/>
            </w:tcBorders>
            <w:vAlign w:val="center"/>
          </w:tcPr>
          <w:p w14:paraId="1A44B96E">
            <w:pPr>
              <w:rPr>
                <w:color w:val="auto"/>
              </w:rPr>
            </w:pPr>
          </w:p>
        </w:tc>
        <w:tc>
          <w:tcPr>
            <w:tcW w:w="1385" w:type="dxa"/>
            <w:tcBorders>
              <w:top w:val="single" w:color="auto" w:sz="4" w:space="0"/>
              <w:left w:val="nil"/>
              <w:bottom w:val="single" w:color="auto" w:sz="4" w:space="0"/>
              <w:right w:val="single" w:color="auto" w:sz="4" w:space="0"/>
            </w:tcBorders>
            <w:vAlign w:val="center"/>
          </w:tcPr>
          <w:p w14:paraId="598A6423">
            <w:pPr>
              <w:rPr>
                <w:color w:val="auto"/>
              </w:rPr>
            </w:pPr>
          </w:p>
        </w:tc>
      </w:tr>
      <w:tr w14:paraId="2F77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361A7140">
            <w:pPr>
              <w:rPr>
                <w:color w:val="auto"/>
              </w:rPr>
            </w:pPr>
            <w:r>
              <w:rPr>
                <w:rFonts w:hint="eastAsia"/>
                <w:color w:val="auto"/>
              </w:rPr>
              <w:t>人事管理</w:t>
            </w:r>
          </w:p>
        </w:tc>
      </w:tr>
      <w:tr w14:paraId="05FB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43600AA">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76C42510">
            <w:pPr>
              <w:rPr>
                <w:color w:val="auto"/>
              </w:rPr>
            </w:pPr>
            <w:r>
              <w:rPr>
                <w:rFonts w:hint="eastAsia"/>
                <w:color w:val="auto"/>
              </w:rPr>
              <w:t>合同续签预警、退休预警、校园卡账号（网络、进出校园权限等）预警，人员分布与实时数据，个人或部门奖励等等</w:t>
            </w:r>
          </w:p>
        </w:tc>
        <w:tc>
          <w:tcPr>
            <w:tcW w:w="1134" w:type="dxa"/>
            <w:tcBorders>
              <w:top w:val="single" w:color="auto" w:sz="4" w:space="0"/>
              <w:left w:val="nil"/>
              <w:bottom w:val="single" w:color="auto" w:sz="4" w:space="0"/>
              <w:right w:val="single" w:color="auto" w:sz="4" w:space="0"/>
            </w:tcBorders>
            <w:vAlign w:val="center"/>
          </w:tcPr>
          <w:p w14:paraId="5DCED690">
            <w:pPr>
              <w:rPr>
                <w:color w:val="auto"/>
              </w:rPr>
            </w:pPr>
          </w:p>
        </w:tc>
        <w:tc>
          <w:tcPr>
            <w:tcW w:w="1134" w:type="dxa"/>
            <w:tcBorders>
              <w:top w:val="single" w:color="auto" w:sz="4" w:space="0"/>
              <w:left w:val="nil"/>
              <w:bottom w:val="single" w:color="auto" w:sz="4" w:space="0"/>
              <w:right w:val="single" w:color="auto" w:sz="4" w:space="0"/>
            </w:tcBorders>
            <w:vAlign w:val="center"/>
          </w:tcPr>
          <w:p w14:paraId="630A46F9">
            <w:pPr>
              <w:rPr>
                <w:color w:val="auto"/>
              </w:rPr>
            </w:pPr>
          </w:p>
        </w:tc>
        <w:tc>
          <w:tcPr>
            <w:tcW w:w="1385" w:type="dxa"/>
            <w:tcBorders>
              <w:top w:val="single" w:color="auto" w:sz="4" w:space="0"/>
              <w:left w:val="nil"/>
              <w:bottom w:val="single" w:color="auto" w:sz="4" w:space="0"/>
              <w:right w:val="single" w:color="auto" w:sz="4" w:space="0"/>
            </w:tcBorders>
            <w:vAlign w:val="center"/>
          </w:tcPr>
          <w:p w14:paraId="1C51B78B">
            <w:pPr>
              <w:rPr>
                <w:color w:val="auto"/>
              </w:rPr>
            </w:pPr>
          </w:p>
        </w:tc>
      </w:tr>
      <w:tr w14:paraId="18B3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0CBBB8F5">
            <w:pPr>
              <w:rPr>
                <w:color w:val="auto"/>
              </w:rPr>
            </w:pPr>
            <w:r>
              <w:rPr>
                <w:rFonts w:hint="eastAsia"/>
                <w:color w:val="auto"/>
              </w:rPr>
              <w:t>资产管理</w:t>
            </w:r>
          </w:p>
        </w:tc>
      </w:tr>
      <w:tr w14:paraId="0DAE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EB7099E">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3EF8BF5A">
            <w:pPr>
              <w:rPr>
                <w:color w:val="auto"/>
              </w:rPr>
            </w:pPr>
            <w:r>
              <w:rPr>
                <w:rFonts w:hint="eastAsia"/>
                <w:color w:val="auto"/>
              </w:rPr>
              <w:t>按类别生成清单、调拨、报废等</w:t>
            </w:r>
          </w:p>
        </w:tc>
        <w:tc>
          <w:tcPr>
            <w:tcW w:w="1134" w:type="dxa"/>
            <w:tcBorders>
              <w:top w:val="single" w:color="auto" w:sz="4" w:space="0"/>
              <w:left w:val="nil"/>
              <w:bottom w:val="single" w:color="auto" w:sz="4" w:space="0"/>
              <w:right w:val="single" w:color="auto" w:sz="4" w:space="0"/>
            </w:tcBorders>
            <w:vAlign w:val="center"/>
          </w:tcPr>
          <w:p w14:paraId="67D1A813">
            <w:pPr>
              <w:rPr>
                <w:color w:val="auto"/>
              </w:rPr>
            </w:pPr>
          </w:p>
        </w:tc>
        <w:tc>
          <w:tcPr>
            <w:tcW w:w="1134" w:type="dxa"/>
            <w:tcBorders>
              <w:top w:val="single" w:color="auto" w:sz="4" w:space="0"/>
              <w:left w:val="nil"/>
              <w:bottom w:val="single" w:color="auto" w:sz="4" w:space="0"/>
              <w:right w:val="single" w:color="auto" w:sz="4" w:space="0"/>
            </w:tcBorders>
            <w:vAlign w:val="center"/>
          </w:tcPr>
          <w:p w14:paraId="7129CC92">
            <w:pPr>
              <w:rPr>
                <w:color w:val="auto"/>
              </w:rPr>
            </w:pPr>
          </w:p>
        </w:tc>
        <w:tc>
          <w:tcPr>
            <w:tcW w:w="1385" w:type="dxa"/>
            <w:tcBorders>
              <w:top w:val="single" w:color="auto" w:sz="4" w:space="0"/>
              <w:left w:val="nil"/>
              <w:bottom w:val="single" w:color="auto" w:sz="4" w:space="0"/>
              <w:right w:val="single" w:color="auto" w:sz="4" w:space="0"/>
            </w:tcBorders>
            <w:vAlign w:val="center"/>
          </w:tcPr>
          <w:p w14:paraId="6B99FDEA">
            <w:pPr>
              <w:rPr>
                <w:color w:val="auto"/>
              </w:rPr>
            </w:pPr>
          </w:p>
        </w:tc>
      </w:tr>
      <w:tr w14:paraId="7DD3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096EE1A6">
            <w:pPr>
              <w:rPr>
                <w:color w:val="auto"/>
              </w:rPr>
            </w:pPr>
            <w:r>
              <w:rPr>
                <w:rFonts w:hint="eastAsia"/>
                <w:color w:val="auto"/>
              </w:rPr>
              <w:t>宣传稿件</w:t>
            </w:r>
          </w:p>
        </w:tc>
      </w:tr>
      <w:tr w14:paraId="5940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E9DFC87">
            <w:pPr>
              <w:rPr>
                <w:color w:val="auto"/>
              </w:rPr>
            </w:pPr>
            <w:r>
              <w:rPr>
                <w:rFonts w:hint="eastAsia"/>
                <w:color w:val="auto"/>
              </w:rPr>
              <w:t>1</w:t>
            </w:r>
          </w:p>
        </w:tc>
        <w:tc>
          <w:tcPr>
            <w:tcW w:w="5810" w:type="dxa"/>
            <w:tcBorders>
              <w:top w:val="single" w:color="auto" w:sz="4" w:space="0"/>
              <w:left w:val="nil"/>
              <w:bottom w:val="single" w:color="auto" w:sz="4" w:space="0"/>
              <w:right w:val="single" w:color="auto" w:sz="4" w:space="0"/>
            </w:tcBorders>
            <w:vAlign w:val="center"/>
          </w:tcPr>
          <w:p w14:paraId="7DED99D6">
            <w:pPr>
              <w:rPr>
                <w:color w:val="auto"/>
              </w:rPr>
            </w:pPr>
            <w:r>
              <w:rPr>
                <w:rFonts w:hint="eastAsia"/>
                <w:color w:val="auto"/>
              </w:rPr>
              <w:t>线上审核、年度统计与分析、形成年度清单、下载与生成文档。</w:t>
            </w:r>
          </w:p>
        </w:tc>
        <w:tc>
          <w:tcPr>
            <w:tcW w:w="1134" w:type="dxa"/>
            <w:tcBorders>
              <w:top w:val="single" w:color="auto" w:sz="4" w:space="0"/>
              <w:left w:val="nil"/>
              <w:bottom w:val="single" w:color="auto" w:sz="4" w:space="0"/>
              <w:right w:val="single" w:color="auto" w:sz="4" w:space="0"/>
            </w:tcBorders>
            <w:vAlign w:val="center"/>
          </w:tcPr>
          <w:p w14:paraId="1F339BEF">
            <w:pPr>
              <w:rPr>
                <w:color w:val="auto"/>
              </w:rPr>
            </w:pPr>
          </w:p>
        </w:tc>
        <w:tc>
          <w:tcPr>
            <w:tcW w:w="1134" w:type="dxa"/>
            <w:tcBorders>
              <w:top w:val="single" w:color="auto" w:sz="4" w:space="0"/>
              <w:left w:val="nil"/>
              <w:bottom w:val="single" w:color="auto" w:sz="4" w:space="0"/>
              <w:right w:val="single" w:color="auto" w:sz="4" w:space="0"/>
            </w:tcBorders>
            <w:vAlign w:val="center"/>
          </w:tcPr>
          <w:p w14:paraId="19F1D699">
            <w:pPr>
              <w:rPr>
                <w:color w:val="auto"/>
              </w:rPr>
            </w:pPr>
          </w:p>
        </w:tc>
        <w:tc>
          <w:tcPr>
            <w:tcW w:w="1385" w:type="dxa"/>
            <w:tcBorders>
              <w:top w:val="single" w:color="auto" w:sz="4" w:space="0"/>
              <w:left w:val="nil"/>
              <w:bottom w:val="single" w:color="auto" w:sz="4" w:space="0"/>
              <w:right w:val="single" w:color="auto" w:sz="4" w:space="0"/>
            </w:tcBorders>
            <w:vAlign w:val="center"/>
          </w:tcPr>
          <w:p w14:paraId="6DC27CF4">
            <w:pPr>
              <w:rPr>
                <w:color w:val="auto"/>
              </w:rPr>
            </w:pPr>
          </w:p>
        </w:tc>
      </w:tr>
      <w:tr w14:paraId="068D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1A8F4D1A">
            <w:pPr>
              <w:rPr>
                <w:color w:val="auto"/>
              </w:rPr>
            </w:pPr>
            <w:r>
              <w:rPr>
                <w:rFonts w:hint="eastAsia"/>
                <w:color w:val="auto"/>
              </w:rPr>
              <w:t>二、零代码应用工具</w:t>
            </w:r>
          </w:p>
        </w:tc>
      </w:tr>
      <w:tr w14:paraId="7DFD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04990911">
            <w:pPr>
              <w:rPr>
                <w:color w:val="auto"/>
              </w:rPr>
            </w:pPr>
            <w:r>
              <w:rPr>
                <w:rFonts w:hint="eastAsia"/>
                <w:color w:val="auto"/>
              </w:rPr>
              <w:t>表单填报</w:t>
            </w:r>
          </w:p>
        </w:tc>
      </w:tr>
      <w:tr w14:paraId="1DEF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3CDD5B6">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0A8C61F1">
            <w:pPr>
              <w:rPr>
                <w:color w:val="auto"/>
              </w:rPr>
            </w:pPr>
            <w:r>
              <w:rPr>
                <w:rFonts w:hint="eastAsia"/>
                <w:color w:val="auto"/>
              </w:rPr>
              <w:t>★支持多种表单控件，包含文本、数字、文字识别、手机短信验证、定位等。</w:t>
            </w:r>
          </w:p>
        </w:tc>
        <w:tc>
          <w:tcPr>
            <w:tcW w:w="1134" w:type="dxa"/>
            <w:tcBorders>
              <w:top w:val="single" w:color="auto" w:sz="4" w:space="0"/>
              <w:left w:val="nil"/>
              <w:bottom w:val="single" w:color="auto" w:sz="4" w:space="0"/>
              <w:right w:val="single" w:color="auto" w:sz="4" w:space="0"/>
            </w:tcBorders>
            <w:vAlign w:val="center"/>
          </w:tcPr>
          <w:p w14:paraId="4695FE37">
            <w:pPr>
              <w:rPr>
                <w:color w:val="auto"/>
              </w:rPr>
            </w:pPr>
          </w:p>
        </w:tc>
        <w:tc>
          <w:tcPr>
            <w:tcW w:w="1134" w:type="dxa"/>
            <w:tcBorders>
              <w:top w:val="single" w:color="auto" w:sz="4" w:space="0"/>
              <w:left w:val="nil"/>
              <w:bottom w:val="single" w:color="auto" w:sz="4" w:space="0"/>
              <w:right w:val="single" w:color="auto" w:sz="4" w:space="0"/>
            </w:tcBorders>
            <w:vAlign w:val="center"/>
          </w:tcPr>
          <w:p w14:paraId="03466F82">
            <w:pPr>
              <w:rPr>
                <w:color w:val="auto"/>
              </w:rPr>
            </w:pPr>
          </w:p>
        </w:tc>
        <w:tc>
          <w:tcPr>
            <w:tcW w:w="1385" w:type="dxa"/>
            <w:tcBorders>
              <w:top w:val="single" w:color="auto" w:sz="4" w:space="0"/>
              <w:left w:val="nil"/>
              <w:bottom w:val="single" w:color="auto" w:sz="4" w:space="0"/>
              <w:right w:val="single" w:color="auto" w:sz="4" w:space="0"/>
            </w:tcBorders>
            <w:vAlign w:val="center"/>
          </w:tcPr>
          <w:p w14:paraId="40307471">
            <w:pPr>
              <w:rPr>
                <w:color w:val="auto"/>
              </w:rPr>
            </w:pPr>
          </w:p>
        </w:tc>
      </w:tr>
      <w:tr w14:paraId="30BD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649278F">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0F7F6887">
            <w:pPr>
              <w:rPr>
                <w:color w:val="auto"/>
              </w:rPr>
            </w:pPr>
            <w:r>
              <w:rPr>
                <w:rFonts w:hint="eastAsia"/>
                <w:color w:val="auto"/>
              </w:rPr>
              <w:t>数字控件支持直接配置有效数值范围。</w:t>
            </w:r>
          </w:p>
        </w:tc>
        <w:tc>
          <w:tcPr>
            <w:tcW w:w="1134" w:type="dxa"/>
            <w:tcBorders>
              <w:top w:val="single" w:color="auto" w:sz="4" w:space="0"/>
              <w:left w:val="nil"/>
              <w:bottom w:val="single" w:color="auto" w:sz="4" w:space="0"/>
              <w:right w:val="single" w:color="auto" w:sz="4" w:space="0"/>
            </w:tcBorders>
            <w:vAlign w:val="center"/>
          </w:tcPr>
          <w:p w14:paraId="25D9B2C6">
            <w:pPr>
              <w:rPr>
                <w:color w:val="auto"/>
              </w:rPr>
            </w:pPr>
          </w:p>
        </w:tc>
        <w:tc>
          <w:tcPr>
            <w:tcW w:w="1134" w:type="dxa"/>
            <w:tcBorders>
              <w:top w:val="single" w:color="auto" w:sz="4" w:space="0"/>
              <w:left w:val="nil"/>
              <w:bottom w:val="single" w:color="auto" w:sz="4" w:space="0"/>
              <w:right w:val="single" w:color="auto" w:sz="4" w:space="0"/>
            </w:tcBorders>
            <w:vAlign w:val="center"/>
          </w:tcPr>
          <w:p w14:paraId="2BAC2475">
            <w:pPr>
              <w:rPr>
                <w:color w:val="auto"/>
              </w:rPr>
            </w:pPr>
          </w:p>
        </w:tc>
        <w:tc>
          <w:tcPr>
            <w:tcW w:w="1385" w:type="dxa"/>
            <w:tcBorders>
              <w:top w:val="single" w:color="auto" w:sz="4" w:space="0"/>
              <w:left w:val="nil"/>
              <w:bottom w:val="single" w:color="auto" w:sz="4" w:space="0"/>
              <w:right w:val="single" w:color="auto" w:sz="4" w:space="0"/>
            </w:tcBorders>
            <w:vAlign w:val="center"/>
          </w:tcPr>
          <w:p w14:paraId="05FF5DC5">
            <w:pPr>
              <w:rPr>
                <w:color w:val="auto"/>
              </w:rPr>
            </w:pPr>
          </w:p>
        </w:tc>
      </w:tr>
      <w:tr w14:paraId="339A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F37C3D4">
            <w:pPr>
              <w:pStyle w:val="40"/>
            </w:pPr>
            <w:r>
              <w:t>3</w:t>
            </w:r>
          </w:p>
        </w:tc>
        <w:tc>
          <w:tcPr>
            <w:tcW w:w="5810" w:type="dxa"/>
            <w:tcBorders>
              <w:top w:val="single" w:color="auto" w:sz="4" w:space="0"/>
              <w:left w:val="nil"/>
              <w:bottom w:val="single" w:color="auto" w:sz="4" w:space="0"/>
              <w:right w:val="single" w:color="auto" w:sz="4" w:space="0"/>
            </w:tcBorders>
            <w:vAlign w:val="center"/>
          </w:tcPr>
          <w:p w14:paraId="796088CF">
            <w:pPr>
              <w:rPr>
                <w:color w:val="auto"/>
              </w:rPr>
            </w:pPr>
            <w:r>
              <w:rPr>
                <w:rFonts w:hint="eastAsia"/>
                <w:color w:val="auto"/>
              </w:rPr>
              <w:t>▲支持直接配置表单页面和布局，便于业务方使用和后续灵活调整，布局支持需要支持一行四列、多tab页展示等方式。</w:t>
            </w:r>
          </w:p>
        </w:tc>
        <w:tc>
          <w:tcPr>
            <w:tcW w:w="1134" w:type="dxa"/>
            <w:tcBorders>
              <w:top w:val="single" w:color="auto" w:sz="4" w:space="0"/>
              <w:left w:val="nil"/>
              <w:bottom w:val="single" w:color="auto" w:sz="4" w:space="0"/>
              <w:right w:val="single" w:color="auto" w:sz="4" w:space="0"/>
            </w:tcBorders>
            <w:vAlign w:val="center"/>
          </w:tcPr>
          <w:p w14:paraId="076D6384">
            <w:pPr>
              <w:rPr>
                <w:color w:val="auto"/>
              </w:rPr>
            </w:pPr>
          </w:p>
        </w:tc>
        <w:tc>
          <w:tcPr>
            <w:tcW w:w="1134" w:type="dxa"/>
            <w:tcBorders>
              <w:top w:val="single" w:color="auto" w:sz="4" w:space="0"/>
              <w:left w:val="nil"/>
              <w:bottom w:val="single" w:color="auto" w:sz="4" w:space="0"/>
              <w:right w:val="single" w:color="auto" w:sz="4" w:space="0"/>
            </w:tcBorders>
            <w:vAlign w:val="center"/>
          </w:tcPr>
          <w:p w14:paraId="0A8F6B3D">
            <w:pPr>
              <w:rPr>
                <w:color w:val="auto"/>
              </w:rPr>
            </w:pPr>
          </w:p>
        </w:tc>
        <w:tc>
          <w:tcPr>
            <w:tcW w:w="1385" w:type="dxa"/>
            <w:tcBorders>
              <w:top w:val="single" w:color="auto" w:sz="4" w:space="0"/>
              <w:left w:val="nil"/>
              <w:bottom w:val="single" w:color="auto" w:sz="4" w:space="0"/>
              <w:right w:val="single" w:color="auto" w:sz="4" w:space="0"/>
            </w:tcBorders>
            <w:vAlign w:val="center"/>
          </w:tcPr>
          <w:p w14:paraId="3B11C40C">
            <w:pPr>
              <w:rPr>
                <w:color w:val="auto"/>
              </w:rPr>
            </w:pPr>
          </w:p>
        </w:tc>
      </w:tr>
      <w:tr w14:paraId="1236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86C5448">
            <w:pPr>
              <w:pStyle w:val="40"/>
            </w:pPr>
            <w:r>
              <w:rPr>
                <w:rFonts w:hint="eastAsia"/>
              </w:rPr>
              <w:t>4</w:t>
            </w:r>
          </w:p>
        </w:tc>
        <w:tc>
          <w:tcPr>
            <w:tcW w:w="5810" w:type="dxa"/>
            <w:tcBorders>
              <w:top w:val="single" w:color="auto" w:sz="4" w:space="0"/>
              <w:left w:val="nil"/>
              <w:bottom w:val="single" w:color="auto" w:sz="4" w:space="0"/>
              <w:right w:val="single" w:color="auto" w:sz="4" w:space="0"/>
            </w:tcBorders>
            <w:vAlign w:val="center"/>
          </w:tcPr>
          <w:p w14:paraId="4EEA3914">
            <w:pPr>
              <w:rPr>
                <w:color w:val="auto"/>
              </w:rPr>
            </w:pPr>
            <w:r>
              <w:rPr>
                <w:rFonts w:hint="eastAsia"/>
                <w:color w:val="auto"/>
              </w:rPr>
              <w:t>支持表间数据灵活配置调用关系，支持需要支持表间数据通过函数调用、关联调用选择多条数据、跨表查询显示多条数据等方式。</w:t>
            </w:r>
          </w:p>
        </w:tc>
        <w:tc>
          <w:tcPr>
            <w:tcW w:w="1134" w:type="dxa"/>
            <w:tcBorders>
              <w:top w:val="single" w:color="auto" w:sz="4" w:space="0"/>
              <w:left w:val="nil"/>
              <w:bottom w:val="single" w:color="auto" w:sz="4" w:space="0"/>
              <w:right w:val="single" w:color="auto" w:sz="4" w:space="0"/>
            </w:tcBorders>
            <w:vAlign w:val="center"/>
          </w:tcPr>
          <w:p w14:paraId="0A9C95D3">
            <w:pPr>
              <w:rPr>
                <w:color w:val="auto"/>
              </w:rPr>
            </w:pPr>
          </w:p>
        </w:tc>
        <w:tc>
          <w:tcPr>
            <w:tcW w:w="1134" w:type="dxa"/>
            <w:tcBorders>
              <w:top w:val="single" w:color="auto" w:sz="4" w:space="0"/>
              <w:left w:val="nil"/>
              <w:bottom w:val="single" w:color="auto" w:sz="4" w:space="0"/>
              <w:right w:val="single" w:color="auto" w:sz="4" w:space="0"/>
            </w:tcBorders>
            <w:vAlign w:val="center"/>
          </w:tcPr>
          <w:p w14:paraId="342C8629">
            <w:pPr>
              <w:rPr>
                <w:color w:val="auto"/>
              </w:rPr>
            </w:pPr>
          </w:p>
        </w:tc>
        <w:tc>
          <w:tcPr>
            <w:tcW w:w="1385" w:type="dxa"/>
            <w:tcBorders>
              <w:top w:val="single" w:color="auto" w:sz="4" w:space="0"/>
              <w:left w:val="nil"/>
              <w:bottom w:val="single" w:color="auto" w:sz="4" w:space="0"/>
              <w:right w:val="single" w:color="auto" w:sz="4" w:space="0"/>
            </w:tcBorders>
            <w:vAlign w:val="center"/>
          </w:tcPr>
          <w:p w14:paraId="2B23A9D0">
            <w:pPr>
              <w:rPr>
                <w:color w:val="auto"/>
              </w:rPr>
            </w:pPr>
          </w:p>
        </w:tc>
      </w:tr>
      <w:tr w14:paraId="70C8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AE7D6BF">
            <w:pPr>
              <w:pStyle w:val="40"/>
            </w:pPr>
            <w:r>
              <w:rPr>
                <w:rFonts w:hint="eastAsia"/>
              </w:rPr>
              <w:t>5</w:t>
            </w:r>
          </w:p>
        </w:tc>
        <w:tc>
          <w:tcPr>
            <w:tcW w:w="5810" w:type="dxa"/>
            <w:tcBorders>
              <w:top w:val="single" w:color="auto" w:sz="4" w:space="0"/>
              <w:left w:val="nil"/>
              <w:bottom w:val="single" w:color="auto" w:sz="4" w:space="0"/>
              <w:right w:val="single" w:color="auto" w:sz="4" w:space="0"/>
            </w:tcBorders>
            <w:vAlign w:val="center"/>
          </w:tcPr>
          <w:p w14:paraId="3B26435D">
            <w:pPr>
              <w:rPr>
                <w:color w:val="auto"/>
              </w:rPr>
            </w:pPr>
            <w:r>
              <w:rPr>
                <w:rFonts w:hint="eastAsia"/>
                <w:color w:val="auto"/>
              </w:rPr>
              <w:t>支持设置固定格式，将线上数据一键生成文件，支持下载和打印；▲固定格式配置页面支持excel网页直接配置或者word导入格式；导出格式支持PDF、excel和word。</w:t>
            </w:r>
          </w:p>
        </w:tc>
        <w:tc>
          <w:tcPr>
            <w:tcW w:w="1134" w:type="dxa"/>
            <w:tcBorders>
              <w:top w:val="single" w:color="auto" w:sz="4" w:space="0"/>
              <w:left w:val="nil"/>
              <w:bottom w:val="single" w:color="auto" w:sz="4" w:space="0"/>
              <w:right w:val="single" w:color="auto" w:sz="4" w:space="0"/>
            </w:tcBorders>
            <w:vAlign w:val="center"/>
          </w:tcPr>
          <w:p w14:paraId="45F328CB">
            <w:pPr>
              <w:rPr>
                <w:color w:val="auto"/>
              </w:rPr>
            </w:pPr>
          </w:p>
        </w:tc>
        <w:tc>
          <w:tcPr>
            <w:tcW w:w="1134" w:type="dxa"/>
            <w:tcBorders>
              <w:top w:val="single" w:color="auto" w:sz="4" w:space="0"/>
              <w:left w:val="nil"/>
              <w:bottom w:val="single" w:color="auto" w:sz="4" w:space="0"/>
              <w:right w:val="single" w:color="auto" w:sz="4" w:space="0"/>
            </w:tcBorders>
            <w:vAlign w:val="center"/>
          </w:tcPr>
          <w:p w14:paraId="1C70BDB4">
            <w:pPr>
              <w:rPr>
                <w:color w:val="auto"/>
              </w:rPr>
            </w:pPr>
          </w:p>
        </w:tc>
        <w:tc>
          <w:tcPr>
            <w:tcW w:w="1385" w:type="dxa"/>
            <w:tcBorders>
              <w:top w:val="single" w:color="auto" w:sz="4" w:space="0"/>
              <w:left w:val="nil"/>
              <w:bottom w:val="single" w:color="auto" w:sz="4" w:space="0"/>
              <w:right w:val="single" w:color="auto" w:sz="4" w:space="0"/>
            </w:tcBorders>
            <w:vAlign w:val="center"/>
          </w:tcPr>
          <w:p w14:paraId="2C2A6095">
            <w:pPr>
              <w:rPr>
                <w:color w:val="auto"/>
              </w:rPr>
            </w:pPr>
          </w:p>
        </w:tc>
      </w:tr>
      <w:tr w14:paraId="74A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46E048B">
            <w:pPr>
              <w:pStyle w:val="40"/>
            </w:pPr>
            <w:r>
              <w:rPr>
                <w:rFonts w:hint="eastAsia"/>
              </w:rPr>
              <w:t>6</w:t>
            </w:r>
          </w:p>
        </w:tc>
        <w:tc>
          <w:tcPr>
            <w:tcW w:w="5810" w:type="dxa"/>
            <w:tcBorders>
              <w:top w:val="single" w:color="auto" w:sz="4" w:space="0"/>
              <w:left w:val="nil"/>
              <w:bottom w:val="single" w:color="auto" w:sz="4" w:space="0"/>
              <w:right w:val="single" w:color="auto" w:sz="4" w:space="0"/>
            </w:tcBorders>
            <w:vAlign w:val="center"/>
          </w:tcPr>
          <w:p w14:paraId="4BB125EE">
            <w:pPr>
              <w:rPr>
                <w:color w:val="auto"/>
              </w:rPr>
            </w:pPr>
            <w:r>
              <w:rPr>
                <w:rFonts w:hint="eastAsia"/>
                <w:color w:val="auto"/>
              </w:rPr>
              <w:t>▲表格支持多种视图样式配置，包括但不限于画廊视图、列表视图、甘特图视图。</w:t>
            </w:r>
          </w:p>
        </w:tc>
        <w:tc>
          <w:tcPr>
            <w:tcW w:w="1134" w:type="dxa"/>
            <w:tcBorders>
              <w:top w:val="single" w:color="auto" w:sz="4" w:space="0"/>
              <w:left w:val="nil"/>
              <w:bottom w:val="single" w:color="auto" w:sz="4" w:space="0"/>
              <w:right w:val="single" w:color="auto" w:sz="4" w:space="0"/>
            </w:tcBorders>
            <w:vAlign w:val="center"/>
          </w:tcPr>
          <w:p w14:paraId="660908B4">
            <w:pPr>
              <w:rPr>
                <w:color w:val="auto"/>
              </w:rPr>
            </w:pPr>
          </w:p>
        </w:tc>
        <w:tc>
          <w:tcPr>
            <w:tcW w:w="1134" w:type="dxa"/>
            <w:tcBorders>
              <w:top w:val="single" w:color="auto" w:sz="4" w:space="0"/>
              <w:left w:val="nil"/>
              <w:bottom w:val="single" w:color="auto" w:sz="4" w:space="0"/>
              <w:right w:val="single" w:color="auto" w:sz="4" w:space="0"/>
            </w:tcBorders>
            <w:vAlign w:val="center"/>
          </w:tcPr>
          <w:p w14:paraId="039FDB27">
            <w:pPr>
              <w:rPr>
                <w:color w:val="auto"/>
              </w:rPr>
            </w:pPr>
          </w:p>
        </w:tc>
        <w:tc>
          <w:tcPr>
            <w:tcW w:w="1385" w:type="dxa"/>
            <w:tcBorders>
              <w:top w:val="single" w:color="auto" w:sz="4" w:space="0"/>
              <w:left w:val="nil"/>
              <w:bottom w:val="single" w:color="auto" w:sz="4" w:space="0"/>
              <w:right w:val="single" w:color="auto" w:sz="4" w:space="0"/>
            </w:tcBorders>
            <w:vAlign w:val="center"/>
          </w:tcPr>
          <w:p w14:paraId="26A72104">
            <w:pPr>
              <w:rPr>
                <w:color w:val="auto"/>
              </w:rPr>
            </w:pPr>
          </w:p>
        </w:tc>
      </w:tr>
      <w:tr w14:paraId="2C61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5307222">
            <w:pPr>
              <w:pStyle w:val="40"/>
            </w:pPr>
            <w:r>
              <w:rPr>
                <w:rFonts w:hint="eastAsia"/>
              </w:rPr>
              <w:t>7</w:t>
            </w:r>
          </w:p>
        </w:tc>
        <w:tc>
          <w:tcPr>
            <w:tcW w:w="5810" w:type="dxa"/>
            <w:tcBorders>
              <w:top w:val="single" w:color="auto" w:sz="4" w:space="0"/>
              <w:left w:val="nil"/>
              <w:bottom w:val="single" w:color="auto" w:sz="4" w:space="0"/>
              <w:right w:val="single" w:color="auto" w:sz="4" w:space="0"/>
            </w:tcBorders>
            <w:vAlign w:val="center"/>
          </w:tcPr>
          <w:p w14:paraId="6E974A35">
            <w:pPr>
              <w:rPr>
                <w:color w:val="auto"/>
              </w:rPr>
            </w:pPr>
            <w:r>
              <w:rPr>
                <w:rFonts w:hint="eastAsia"/>
                <w:color w:val="auto"/>
              </w:rPr>
              <w:t>▲支持设计预览功能，有预览按钮，在表单设计时可同界面预览到用户视角下的填报页面，提高设计效率。</w:t>
            </w:r>
          </w:p>
        </w:tc>
        <w:tc>
          <w:tcPr>
            <w:tcW w:w="1134" w:type="dxa"/>
            <w:tcBorders>
              <w:top w:val="single" w:color="auto" w:sz="4" w:space="0"/>
              <w:left w:val="nil"/>
              <w:bottom w:val="single" w:color="auto" w:sz="4" w:space="0"/>
              <w:right w:val="single" w:color="auto" w:sz="4" w:space="0"/>
            </w:tcBorders>
            <w:vAlign w:val="center"/>
          </w:tcPr>
          <w:p w14:paraId="3D06B483">
            <w:pPr>
              <w:rPr>
                <w:color w:val="auto"/>
              </w:rPr>
            </w:pPr>
          </w:p>
        </w:tc>
        <w:tc>
          <w:tcPr>
            <w:tcW w:w="1134" w:type="dxa"/>
            <w:tcBorders>
              <w:top w:val="single" w:color="auto" w:sz="4" w:space="0"/>
              <w:left w:val="nil"/>
              <w:bottom w:val="single" w:color="auto" w:sz="4" w:space="0"/>
              <w:right w:val="single" w:color="auto" w:sz="4" w:space="0"/>
            </w:tcBorders>
            <w:vAlign w:val="center"/>
          </w:tcPr>
          <w:p w14:paraId="4547D6BD">
            <w:pPr>
              <w:rPr>
                <w:color w:val="auto"/>
              </w:rPr>
            </w:pPr>
          </w:p>
        </w:tc>
        <w:tc>
          <w:tcPr>
            <w:tcW w:w="1385" w:type="dxa"/>
            <w:tcBorders>
              <w:top w:val="single" w:color="auto" w:sz="4" w:space="0"/>
              <w:left w:val="nil"/>
              <w:bottom w:val="single" w:color="auto" w:sz="4" w:space="0"/>
              <w:right w:val="single" w:color="auto" w:sz="4" w:space="0"/>
            </w:tcBorders>
            <w:vAlign w:val="center"/>
          </w:tcPr>
          <w:p w14:paraId="7005DFA2">
            <w:pPr>
              <w:rPr>
                <w:color w:val="auto"/>
              </w:rPr>
            </w:pPr>
          </w:p>
        </w:tc>
      </w:tr>
      <w:tr w14:paraId="624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838314E">
            <w:pPr>
              <w:pStyle w:val="40"/>
            </w:pPr>
            <w:r>
              <w:rPr>
                <w:rFonts w:hint="eastAsia"/>
              </w:rPr>
              <w:t>8</w:t>
            </w:r>
          </w:p>
        </w:tc>
        <w:tc>
          <w:tcPr>
            <w:tcW w:w="5810" w:type="dxa"/>
            <w:tcBorders>
              <w:top w:val="single" w:color="auto" w:sz="4" w:space="0"/>
              <w:left w:val="nil"/>
              <w:bottom w:val="single" w:color="auto" w:sz="4" w:space="0"/>
              <w:right w:val="single" w:color="auto" w:sz="4" w:space="0"/>
            </w:tcBorders>
            <w:vAlign w:val="center"/>
          </w:tcPr>
          <w:p w14:paraId="0EC84293">
            <w:pPr>
              <w:rPr>
                <w:color w:val="auto"/>
              </w:rPr>
            </w:pPr>
            <w:r>
              <w:rPr>
                <w:rFonts w:hint="eastAsia"/>
                <w:color w:val="auto"/>
              </w:rPr>
              <w:t>支持定位功能，能够设置多个定位中心点，实现多点定位打卡。</w:t>
            </w:r>
          </w:p>
        </w:tc>
        <w:tc>
          <w:tcPr>
            <w:tcW w:w="1134" w:type="dxa"/>
            <w:tcBorders>
              <w:top w:val="single" w:color="auto" w:sz="4" w:space="0"/>
              <w:left w:val="nil"/>
              <w:bottom w:val="single" w:color="auto" w:sz="4" w:space="0"/>
              <w:right w:val="single" w:color="auto" w:sz="4" w:space="0"/>
            </w:tcBorders>
            <w:vAlign w:val="center"/>
          </w:tcPr>
          <w:p w14:paraId="33AEAE96">
            <w:pPr>
              <w:rPr>
                <w:color w:val="auto"/>
              </w:rPr>
            </w:pPr>
          </w:p>
        </w:tc>
        <w:tc>
          <w:tcPr>
            <w:tcW w:w="1134" w:type="dxa"/>
            <w:tcBorders>
              <w:top w:val="single" w:color="auto" w:sz="4" w:space="0"/>
              <w:left w:val="nil"/>
              <w:bottom w:val="single" w:color="auto" w:sz="4" w:space="0"/>
              <w:right w:val="single" w:color="auto" w:sz="4" w:space="0"/>
            </w:tcBorders>
            <w:vAlign w:val="center"/>
          </w:tcPr>
          <w:p w14:paraId="4F6C7846">
            <w:pPr>
              <w:rPr>
                <w:color w:val="auto"/>
              </w:rPr>
            </w:pPr>
          </w:p>
        </w:tc>
        <w:tc>
          <w:tcPr>
            <w:tcW w:w="1385" w:type="dxa"/>
            <w:tcBorders>
              <w:top w:val="single" w:color="auto" w:sz="4" w:space="0"/>
              <w:left w:val="nil"/>
              <w:bottom w:val="single" w:color="auto" w:sz="4" w:space="0"/>
              <w:right w:val="single" w:color="auto" w:sz="4" w:space="0"/>
            </w:tcBorders>
            <w:vAlign w:val="center"/>
          </w:tcPr>
          <w:p w14:paraId="0F4EEFB9">
            <w:pPr>
              <w:rPr>
                <w:color w:val="auto"/>
              </w:rPr>
            </w:pPr>
          </w:p>
        </w:tc>
      </w:tr>
      <w:tr w14:paraId="534E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1495D666">
            <w:pPr>
              <w:rPr>
                <w:color w:val="auto"/>
              </w:rPr>
            </w:pPr>
            <w:r>
              <w:rPr>
                <w:rFonts w:hint="eastAsia"/>
                <w:color w:val="auto"/>
              </w:rPr>
              <w:t>流程管控</w:t>
            </w:r>
          </w:p>
        </w:tc>
      </w:tr>
      <w:tr w14:paraId="759D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CEF753F">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5971B552">
            <w:pPr>
              <w:rPr>
                <w:color w:val="auto"/>
              </w:rPr>
            </w:pPr>
            <w:r>
              <w:rPr>
                <w:rFonts w:hint="eastAsia"/>
                <w:color w:val="auto"/>
              </w:rPr>
              <w:t>★能够满足流程管控要求，包含主子流程体系、分支、条件、并行等多种流程形式，支持配置智能通过逻辑，若该成员已审批过该流程或与上一项目节点审批人相同，可自动跳过，提高流程效率。</w:t>
            </w:r>
          </w:p>
        </w:tc>
        <w:tc>
          <w:tcPr>
            <w:tcW w:w="1134" w:type="dxa"/>
            <w:tcBorders>
              <w:top w:val="single" w:color="auto" w:sz="4" w:space="0"/>
              <w:left w:val="nil"/>
              <w:bottom w:val="single" w:color="auto" w:sz="4" w:space="0"/>
              <w:right w:val="single" w:color="auto" w:sz="4" w:space="0"/>
            </w:tcBorders>
            <w:vAlign w:val="center"/>
          </w:tcPr>
          <w:p w14:paraId="7A45F6E8">
            <w:pPr>
              <w:rPr>
                <w:color w:val="auto"/>
              </w:rPr>
            </w:pPr>
          </w:p>
        </w:tc>
        <w:tc>
          <w:tcPr>
            <w:tcW w:w="1134" w:type="dxa"/>
            <w:tcBorders>
              <w:top w:val="single" w:color="auto" w:sz="4" w:space="0"/>
              <w:left w:val="nil"/>
              <w:bottom w:val="single" w:color="auto" w:sz="4" w:space="0"/>
              <w:right w:val="single" w:color="auto" w:sz="4" w:space="0"/>
            </w:tcBorders>
            <w:vAlign w:val="center"/>
          </w:tcPr>
          <w:p w14:paraId="691E269A">
            <w:pPr>
              <w:rPr>
                <w:color w:val="auto"/>
              </w:rPr>
            </w:pPr>
          </w:p>
        </w:tc>
        <w:tc>
          <w:tcPr>
            <w:tcW w:w="1385" w:type="dxa"/>
            <w:tcBorders>
              <w:top w:val="single" w:color="auto" w:sz="4" w:space="0"/>
              <w:left w:val="nil"/>
              <w:bottom w:val="single" w:color="auto" w:sz="4" w:space="0"/>
              <w:right w:val="single" w:color="auto" w:sz="4" w:space="0"/>
            </w:tcBorders>
            <w:vAlign w:val="center"/>
          </w:tcPr>
          <w:p w14:paraId="44BBD9C1">
            <w:pPr>
              <w:rPr>
                <w:color w:val="auto"/>
              </w:rPr>
            </w:pPr>
          </w:p>
        </w:tc>
      </w:tr>
      <w:tr w14:paraId="50E8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CDAD6F5">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32753FB5">
            <w:pPr>
              <w:rPr>
                <w:color w:val="auto"/>
              </w:rPr>
            </w:pPr>
            <w:r>
              <w:rPr>
                <w:rFonts w:hint="eastAsia"/>
                <w:color w:val="auto"/>
              </w:rPr>
              <w:t>▲流程流转线上支持设置备注说明，便于整理流程逻辑。</w:t>
            </w:r>
          </w:p>
        </w:tc>
        <w:tc>
          <w:tcPr>
            <w:tcW w:w="1134" w:type="dxa"/>
            <w:tcBorders>
              <w:top w:val="single" w:color="auto" w:sz="4" w:space="0"/>
              <w:left w:val="nil"/>
              <w:bottom w:val="single" w:color="auto" w:sz="4" w:space="0"/>
              <w:right w:val="single" w:color="auto" w:sz="4" w:space="0"/>
            </w:tcBorders>
            <w:vAlign w:val="center"/>
          </w:tcPr>
          <w:p w14:paraId="5719E043">
            <w:pPr>
              <w:rPr>
                <w:color w:val="auto"/>
              </w:rPr>
            </w:pPr>
          </w:p>
        </w:tc>
        <w:tc>
          <w:tcPr>
            <w:tcW w:w="1134" w:type="dxa"/>
            <w:tcBorders>
              <w:top w:val="single" w:color="auto" w:sz="4" w:space="0"/>
              <w:left w:val="nil"/>
              <w:bottom w:val="single" w:color="auto" w:sz="4" w:space="0"/>
              <w:right w:val="single" w:color="auto" w:sz="4" w:space="0"/>
            </w:tcBorders>
            <w:vAlign w:val="center"/>
          </w:tcPr>
          <w:p w14:paraId="16BD5E8E">
            <w:pPr>
              <w:rPr>
                <w:color w:val="auto"/>
              </w:rPr>
            </w:pPr>
          </w:p>
        </w:tc>
        <w:tc>
          <w:tcPr>
            <w:tcW w:w="1385" w:type="dxa"/>
            <w:tcBorders>
              <w:top w:val="single" w:color="auto" w:sz="4" w:space="0"/>
              <w:left w:val="nil"/>
              <w:bottom w:val="single" w:color="auto" w:sz="4" w:space="0"/>
              <w:right w:val="single" w:color="auto" w:sz="4" w:space="0"/>
            </w:tcBorders>
            <w:vAlign w:val="center"/>
          </w:tcPr>
          <w:p w14:paraId="79E13CDB">
            <w:pPr>
              <w:rPr>
                <w:color w:val="auto"/>
              </w:rPr>
            </w:pPr>
          </w:p>
        </w:tc>
      </w:tr>
      <w:tr w14:paraId="7AB9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7FBC7F3">
            <w:pPr>
              <w:pStyle w:val="40"/>
            </w:pPr>
            <w:r>
              <w:rPr>
                <w:rFonts w:hint="eastAsia"/>
              </w:rPr>
              <w:t>3</w:t>
            </w:r>
          </w:p>
        </w:tc>
        <w:tc>
          <w:tcPr>
            <w:tcW w:w="5810" w:type="dxa"/>
            <w:tcBorders>
              <w:top w:val="single" w:color="auto" w:sz="4" w:space="0"/>
              <w:left w:val="nil"/>
              <w:bottom w:val="single" w:color="auto" w:sz="4" w:space="0"/>
              <w:right w:val="single" w:color="auto" w:sz="4" w:space="0"/>
            </w:tcBorders>
            <w:vAlign w:val="center"/>
          </w:tcPr>
          <w:p w14:paraId="61327C02">
            <w:pPr>
              <w:rPr>
                <w:color w:val="auto"/>
              </w:rPr>
            </w:pPr>
            <w:r>
              <w:rPr>
                <w:rFonts w:hint="eastAsia"/>
                <w:color w:val="auto"/>
              </w:rPr>
              <w:t>支持配置加签、转交、超时自动处理等功能。</w:t>
            </w:r>
          </w:p>
        </w:tc>
        <w:tc>
          <w:tcPr>
            <w:tcW w:w="1134" w:type="dxa"/>
            <w:tcBorders>
              <w:top w:val="single" w:color="auto" w:sz="4" w:space="0"/>
              <w:left w:val="nil"/>
              <w:bottom w:val="single" w:color="auto" w:sz="4" w:space="0"/>
              <w:right w:val="single" w:color="auto" w:sz="4" w:space="0"/>
            </w:tcBorders>
            <w:vAlign w:val="center"/>
          </w:tcPr>
          <w:p w14:paraId="68CC448C">
            <w:pPr>
              <w:rPr>
                <w:color w:val="auto"/>
              </w:rPr>
            </w:pPr>
          </w:p>
        </w:tc>
        <w:tc>
          <w:tcPr>
            <w:tcW w:w="1134" w:type="dxa"/>
            <w:tcBorders>
              <w:top w:val="single" w:color="auto" w:sz="4" w:space="0"/>
              <w:left w:val="nil"/>
              <w:bottom w:val="single" w:color="auto" w:sz="4" w:space="0"/>
              <w:right w:val="single" w:color="auto" w:sz="4" w:space="0"/>
            </w:tcBorders>
            <w:vAlign w:val="center"/>
          </w:tcPr>
          <w:p w14:paraId="7F6E974E">
            <w:pPr>
              <w:rPr>
                <w:color w:val="auto"/>
              </w:rPr>
            </w:pPr>
          </w:p>
        </w:tc>
        <w:tc>
          <w:tcPr>
            <w:tcW w:w="1385" w:type="dxa"/>
            <w:tcBorders>
              <w:top w:val="single" w:color="auto" w:sz="4" w:space="0"/>
              <w:left w:val="nil"/>
              <w:bottom w:val="single" w:color="auto" w:sz="4" w:space="0"/>
              <w:right w:val="single" w:color="auto" w:sz="4" w:space="0"/>
            </w:tcBorders>
            <w:vAlign w:val="center"/>
          </w:tcPr>
          <w:p w14:paraId="50AF937B">
            <w:pPr>
              <w:rPr>
                <w:color w:val="auto"/>
              </w:rPr>
            </w:pPr>
          </w:p>
        </w:tc>
      </w:tr>
      <w:tr w14:paraId="12F8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0CEB682">
            <w:pPr>
              <w:pStyle w:val="40"/>
            </w:pPr>
            <w:r>
              <w:rPr>
                <w:rFonts w:hint="eastAsia"/>
              </w:rPr>
              <w:t>4</w:t>
            </w:r>
          </w:p>
        </w:tc>
        <w:tc>
          <w:tcPr>
            <w:tcW w:w="5810" w:type="dxa"/>
            <w:tcBorders>
              <w:top w:val="single" w:color="auto" w:sz="4" w:space="0"/>
              <w:left w:val="nil"/>
              <w:bottom w:val="single" w:color="auto" w:sz="4" w:space="0"/>
              <w:right w:val="single" w:color="auto" w:sz="4" w:space="0"/>
            </w:tcBorders>
            <w:vAlign w:val="center"/>
          </w:tcPr>
          <w:p w14:paraId="553C64AE">
            <w:pPr>
              <w:rPr>
                <w:color w:val="auto"/>
              </w:rPr>
            </w:pPr>
            <w:r>
              <w:rPr>
                <w:rFonts w:hint="eastAsia"/>
                <w:color w:val="auto"/>
              </w:rPr>
              <w:t>▲支持设计预览功能，有预览按钮，在流程设计时可同界面预览到用户视角下的审批页面，提高设计效率。</w:t>
            </w:r>
          </w:p>
        </w:tc>
        <w:tc>
          <w:tcPr>
            <w:tcW w:w="1134" w:type="dxa"/>
            <w:tcBorders>
              <w:top w:val="single" w:color="auto" w:sz="4" w:space="0"/>
              <w:left w:val="nil"/>
              <w:bottom w:val="single" w:color="auto" w:sz="4" w:space="0"/>
              <w:right w:val="single" w:color="auto" w:sz="4" w:space="0"/>
            </w:tcBorders>
            <w:vAlign w:val="center"/>
          </w:tcPr>
          <w:p w14:paraId="08EF3DAF">
            <w:pPr>
              <w:rPr>
                <w:color w:val="auto"/>
              </w:rPr>
            </w:pPr>
          </w:p>
        </w:tc>
        <w:tc>
          <w:tcPr>
            <w:tcW w:w="1134" w:type="dxa"/>
            <w:tcBorders>
              <w:top w:val="single" w:color="auto" w:sz="4" w:space="0"/>
              <w:left w:val="nil"/>
              <w:bottom w:val="single" w:color="auto" w:sz="4" w:space="0"/>
              <w:right w:val="single" w:color="auto" w:sz="4" w:space="0"/>
            </w:tcBorders>
            <w:vAlign w:val="center"/>
          </w:tcPr>
          <w:p w14:paraId="5D1E0736">
            <w:pPr>
              <w:rPr>
                <w:color w:val="auto"/>
              </w:rPr>
            </w:pPr>
          </w:p>
        </w:tc>
        <w:tc>
          <w:tcPr>
            <w:tcW w:w="1385" w:type="dxa"/>
            <w:tcBorders>
              <w:top w:val="single" w:color="auto" w:sz="4" w:space="0"/>
              <w:left w:val="nil"/>
              <w:bottom w:val="single" w:color="auto" w:sz="4" w:space="0"/>
              <w:right w:val="single" w:color="auto" w:sz="4" w:space="0"/>
            </w:tcBorders>
            <w:vAlign w:val="center"/>
          </w:tcPr>
          <w:p w14:paraId="64079C00">
            <w:pPr>
              <w:rPr>
                <w:color w:val="auto"/>
              </w:rPr>
            </w:pPr>
          </w:p>
        </w:tc>
      </w:tr>
      <w:tr w14:paraId="463F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4AEC9B4">
            <w:pPr>
              <w:pStyle w:val="40"/>
            </w:pPr>
            <w:r>
              <w:rPr>
                <w:rFonts w:hint="eastAsia"/>
              </w:rPr>
              <w:t>5</w:t>
            </w:r>
          </w:p>
        </w:tc>
        <w:tc>
          <w:tcPr>
            <w:tcW w:w="5810" w:type="dxa"/>
            <w:tcBorders>
              <w:top w:val="single" w:color="auto" w:sz="4" w:space="0"/>
              <w:left w:val="nil"/>
              <w:bottom w:val="single" w:color="auto" w:sz="4" w:space="0"/>
              <w:right w:val="single" w:color="auto" w:sz="4" w:space="0"/>
            </w:tcBorders>
            <w:vAlign w:val="center"/>
          </w:tcPr>
          <w:p w14:paraId="207CF741">
            <w:pPr>
              <w:rPr>
                <w:color w:val="auto"/>
              </w:rPr>
            </w:pPr>
            <w:r>
              <w:rPr>
                <w:rFonts w:hint="eastAsia"/>
                <w:color w:val="auto"/>
              </w:rPr>
              <w:t>支持流程限时处理，▲支持超时自动驳回，退回到某一节点可配置；重新提交到某一结点也可配置。</w:t>
            </w:r>
          </w:p>
        </w:tc>
        <w:tc>
          <w:tcPr>
            <w:tcW w:w="1134" w:type="dxa"/>
            <w:tcBorders>
              <w:top w:val="single" w:color="auto" w:sz="4" w:space="0"/>
              <w:left w:val="nil"/>
              <w:bottom w:val="single" w:color="auto" w:sz="4" w:space="0"/>
              <w:right w:val="single" w:color="auto" w:sz="4" w:space="0"/>
            </w:tcBorders>
            <w:vAlign w:val="center"/>
          </w:tcPr>
          <w:p w14:paraId="75262B90">
            <w:pPr>
              <w:rPr>
                <w:color w:val="auto"/>
              </w:rPr>
            </w:pPr>
          </w:p>
        </w:tc>
        <w:tc>
          <w:tcPr>
            <w:tcW w:w="1134" w:type="dxa"/>
            <w:tcBorders>
              <w:top w:val="single" w:color="auto" w:sz="4" w:space="0"/>
              <w:left w:val="nil"/>
              <w:bottom w:val="single" w:color="auto" w:sz="4" w:space="0"/>
              <w:right w:val="single" w:color="auto" w:sz="4" w:space="0"/>
            </w:tcBorders>
            <w:vAlign w:val="center"/>
          </w:tcPr>
          <w:p w14:paraId="546220EF">
            <w:pPr>
              <w:rPr>
                <w:color w:val="auto"/>
              </w:rPr>
            </w:pPr>
          </w:p>
        </w:tc>
        <w:tc>
          <w:tcPr>
            <w:tcW w:w="1385" w:type="dxa"/>
            <w:tcBorders>
              <w:top w:val="single" w:color="auto" w:sz="4" w:space="0"/>
              <w:left w:val="nil"/>
              <w:bottom w:val="single" w:color="auto" w:sz="4" w:space="0"/>
              <w:right w:val="single" w:color="auto" w:sz="4" w:space="0"/>
            </w:tcBorders>
            <w:vAlign w:val="center"/>
          </w:tcPr>
          <w:p w14:paraId="539640C6">
            <w:pPr>
              <w:rPr>
                <w:color w:val="auto"/>
              </w:rPr>
            </w:pPr>
          </w:p>
        </w:tc>
      </w:tr>
      <w:tr w14:paraId="7139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67C14C9">
            <w:pPr>
              <w:pStyle w:val="40"/>
            </w:pPr>
            <w:r>
              <w:rPr>
                <w:rFonts w:hint="eastAsia"/>
              </w:rPr>
              <w:t>6</w:t>
            </w:r>
          </w:p>
        </w:tc>
        <w:tc>
          <w:tcPr>
            <w:tcW w:w="5810" w:type="dxa"/>
            <w:tcBorders>
              <w:top w:val="single" w:color="auto" w:sz="4" w:space="0"/>
              <w:left w:val="nil"/>
              <w:bottom w:val="single" w:color="auto" w:sz="4" w:space="0"/>
              <w:right w:val="single" w:color="auto" w:sz="4" w:space="0"/>
            </w:tcBorders>
            <w:vAlign w:val="center"/>
          </w:tcPr>
          <w:p w14:paraId="31362628">
            <w:pPr>
              <w:rPr>
                <w:color w:val="auto"/>
              </w:rPr>
            </w:pPr>
            <w:r>
              <w:rPr>
                <w:rFonts w:hint="eastAsia"/>
                <w:color w:val="auto"/>
              </w:rPr>
              <w:t>▲能够对所有项目流程分别一键生成流程效率分析看板，直观看到累计流程数、未结束流程数、流程各节点现存数、所有成员现存流程待办数，平均一个流程的执行周期等数据，要求可直接生成无需配置。</w:t>
            </w:r>
          </w:p>
        </w:tc>
        <w:tc>
          <w:tcPr>
            <w:tcW w:w="1134" w:type="dxa"/>
            <w:tcBorders>
              <w:top w:val="single" w:color="auto" w:sz="4" w:space="0"/>
              <w:left w:val="nil"/>
              <w:bottom w:val="single" w:color="auto" w:sz="4" w:space="0"/>
              <w:right w:val="single" w:color="auto" w:sz="4" w:space="0"/>
            </w:tcBorders>
            <w:vAlign w:val="center"/>
          </w:tcPr>
          <w:p w14:paraId="05629CC9">
            <w:pPr>
              <w:rPr>
                <w:color w:val="auto"/>
              </w:rPr>
            </w:pPr>
          </w:p>
        </w:tc>
        <w:tc>
          <w:tcPr>
            <w:tcW w:w="1134" w:type="dxa"/>
            <w:tcBorders>
              <w:top w:val="single" w:color="auto" w:sz="4" w:space="0"/>
              <w:left w:val="nil"/>
              <w:bottom w:val="single" w:color="auto" w:sz="4" w:space="0"/>
              <w:right w:val="single" w:color="auto" w:sz="4" w:space="0"/>
            </w:tcBorders>
            <w:vAlign w:val="center"/>
          </w:tcPr>
          <w:p w14:paraId="33256CBD">
            <w:pPr>
              <w:rPr>
                <w:color w:val="auto"/>
              </w:rPr>
            </w:pPr>
          </w:p>
        </w:tc>
        <w:tc>
          <w:tcPr>
            <w:tcW w:w="1385" w:type="dxa"/>
            <w:tcBorders>
              <w:top w:val="single" w:color="auto" w:sz="4" w:space="0"/>
              <w:left w:val="nil"/>
              <w:bottom w:val="single" w:color="auto" w:sz="4" w:space="0"/>
              <w:right w:val="single" w:color="auto" w:sz="4" w:space="0"/>
            </w:tcBorders>
            <w:vAlign w:val="center"/>
          </w:tcPr>
          <w:p w14:paraId="3DC95E76">
            <w:pPr>
              <w:rPr>
                <w:color w:val="auto"/>
              </w:rPr>
            </w:pPr>
          </w:p>
        </w:tc>
      </w:tr>
      <w:tr w14:paraId="0F24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9C2AC06">
            <w:pPr>
              <w:pStyle w:val="40"/>
            </w:pPr>
            <w:r>
              <w:rPr>
                <w:rFonts w:hint="eastAsia"/>
              </w:rPr>
              <w:t>7</w:t>
            </w:r>
          </w:p>
        </w:tc>
        <w:tc>
          <w:tcPr>
            <w:tcW w:w="5810" w:type="dxa"/>
            <w:tcBorders>
              <w:top w:val="single" w:color="auto" w:sz="4" w:space="0"/>
              <w:left w:val="nil"/>
              <w:bottom w:val="single" w:color="auto" w:sz="4" w:space="0"/>
              <w:right w:val="single" w:color="auto" w:sz="4" w:space="0"/>
            </w:tcBorders>
            <w:vAlign w:val="center"/>
          </w:tcPr>
          <w:p w14:paraId="4C4E4B01">
            <w:pPr>
              <w:rPr>
                <w:color w:val="auto"/>
              </w:rPr>
            </w:pPr>
            <w:r>
              <w:rPr>
                <w:rFonts w:hint="eastAsia"/>
                <w:color w:val="auto"/>
              </w:rPr>
              <w:t>支持配置消息简报，可设置审批人在收到待办时可见哪些关键信息。</w:t>
            </w:r>
          </w:p>
        </w:tc>
        <w:tc>
          <w:tcPr>
            <w:tcW w:w="1134" w:type="dxa"/>
            <w:tcBorders>
              <w:top w:val="single" w:color="auto" w:sz="4" w:space="0"/>
              <w:left w:val="nil"/>
              <w:bottom w:val="single" w:color="auto" w:sz="4" w:space="0"/>
              <w:right w:val="single" w:color="auto" w:sz="4" w:space="0"/>
            </w:tcBorders>
            <w:vAlign w:val="center"/>
          </w:tcPr>
          <w:p w14:paraId="72A0439F">
            <w:pPr>
              <w:rPr>
                <w:color w:val="auto"/>
              </w:rPr>
            </w:pPr>
          </w:p>
        </w:tc>
        <w:tc>
          <w:tcPr>
            <w:tcW w:w="1134" w:type="dxa"/>
            <w:tcBorders>
              <w:top w:val="single" w:color="auto" w:sz="4" w:space="0"/>
              <w:left w:val="nil"/>
              <w:bottom w:val="single" w:color="auto" w:sz="4" w:space="0"/>
              <w:right w:val="single" w:color="auto" w:sz="4" w:space="0"/>
            </w:tcBorders>
            <w:vAlign w:val="center"/>
          </w:tcPr>
          <w:p w14:paraId="094F17F0">
            <w:pPr>
              <w:rPr>
                <w:color w:val="auto"/>
              </w:rPr>
            </w:pPr>
          </w:p>
        </w:tc>
        <w:tc>
          <w:tcPr>
            <w:tcW w:w="1385" w:type="dxa"/>
            <w:tcBorders>
              <w:top w:val="single" w:color="auto" w:sz="4" w:space="0"/>
              <w:left w:val="nil"/>
              <w:bottom w:val="single" w:color="auto" w:sz="4" w:space="0"/>
              <w:right w:val="single" w:color="auto" w:sz="4" w:space="0"/>
            </w:tcBorders>
            <w:vAlign w:val="center"/>
          </w:tcPr>
          <w:p w14:paraId="3A55F854">
            <w:pPr>
              <w:rPr>
                <w:color w:val="auto"/>
              </w:rPr>
            </w:pPr>
          </w:p>
        </w:tc>
      </w:tr>
      <w:tr w14:paraId="0CD7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46DE0D1">
            <w:pPr>
              <w:pStyle w:val="40"/>
            </w:pPr>
            <w:r>
              <w:rPr>
                <w:rFonts w:hint="eastAsia"/>
              </w:rPr>
              <w:t>8</w:t>
            </w:r>
          </w:p>
        </w:tc>
        <w:tc>
          <w:tcPr>
            <w:tcW w:w="5810" w:type="dxa"/>
            <w:tcBorders>
              <w:top w:val="single" w:color="auto" w:sz="4" w:space="0"/>
              <w:left w:val="nil"/>
              <w:bottom w:val="single" w:color="auto" w:sz="4" w:space="0"/>
              <w:right w:val="single" w:color="auto" w:sz="4" w:space="0"/>
            </w:tcBorders>
            <w:vAlign w:val="center"/>
          </w:tcPr>
          <w:p w14:paraId="065663D5">
            <w:pPr>
              <w:rPr>
                <w:color w:val="auto"/>
              </w:rPr>
            </w:pPr>
            <w:r>
              <w:rPr>
                <w:rFonts w:hint="eastAsia"/>
                <w:color w:val="auto"/>
              </w:rPr>
              <w:t>支持发起人撤回申请和催办。</w:t>
            </w:r>
          </w:p>
        </w:tc>
        <w:tc>
          <w:tcPr>
            <w:tcW w:w="1134" w:type="dxa"/>
            <w:tcBorders>
              <w:top w:val="single" w:color="auto" w:sz="4" w:space="0"/>
              <w:left w:val="nil"/>
              <w:bottom w:val="single" w:color="auto" w:sz="4" w:space="0"/>
              <w:right w:val="single" w:color="auto" w:sz="4" w:space="0"/>
            </w:tcBorders>
            <w:vAlign w:val="center"/>
          </w:tcPr>
          <w:p w14:paraId="3B4094CE">
            <w:pPr>
              <w:rPr>
                <w:color w:val="auto"/>
              </w:rPr>
            </w:pPr>
          </w:p>
        </w:tc>
        <w:tc>
          <w:tcPr>
            <w:tcW w:w="1134" w:type="dxa"/>
            <w:tcBorders>
              <w:top w:val="single" w:color="auto" w:sz="4" w:space="0"/>
              <w:left w:val="nil"/>
              <w:bottom w:val="single" w:color="auto" w:sz="4" w:space="0"/>
              <w:right w:val="single" w:color="auto" w:sz="4" w:space="0"/>
            </w:tcBorders>
            <w:vAlign w:val="center"/>
          </w:tcPr>
          <w:p w14:paraId="3799860B">
            <w:pPr>
              <w:rPr>
                <w:color w:val="auto"/>
              </w:rPr>
            </w:pPr>
          </w:p>
        </w:tc>
        <w:tc>
          <w:tcPr>
            <w:tcW w:w="1385" w:type="dxa"/>
            <w:tcBorders>
              <w:top w:val="single" w:color="auto" w:sz="4" w:space="0"/>
              <w:left w:val="nil"/>
              <w:bottom w:val="single" w:color="auto" w:sz="4" w:space="0"/>
              <w:right w:val="single" w:color="auto" w:sz="4" w:space="0"/>
            </w:tcBorders>
            <w:vAlign w:val="center"/>
          </w:tcPr>
          <w:p w14:paraId="17B81A5B">
            <w:pPr>
              <w:rPr>
                <w:color w:val="auto"/>
              </w:rPr>
            </w:pPr>
          </w:p>
        </w:tc>
      </w:tr>
      <w:tr w14:paraId="2675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506DFC53">
            <w:pPr>
              <w:rPr>
                <w:color w:val="auto"/>
              </w:rPr>
            </w:pPr>
            <w:r>
              <w:rPr>
                <w:rFonts w:hint="eastAsia"/>
                <w:color w:val="auto"/>
              </w:rPr>
              <w:t>数据综合治理</w:t>
            </w:r>
          </w:p>
        </w:tc>
      </w:tr>
      <w:tr w14:paraId="31BA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2881879">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0A1F9873">
            <w:pPr>
              <w:rPr>
                <w:color w:val="auto"/>
              </w:rPr>
            </w:pPr>
            <w:r>
              <w:rPr>
                <w:rFonts w:hint="eastAsia"/>
                <w:color w:val="auto"/>
              </w:rPr>
              <w:t>★支持无代码配置数据处理功能，支持多表同时参与计算。</w:t>
            </w:r>
          </w:p>
        </w:tc>
        <w:tc>
          <w:tcPr>
            <w:tcW w:w="1134" w:type="dxa"/>
            <w:tcBorders>
              <w:top w:val="single" w:color="auto" w:sz="4" w:space="0"/>
              <w:left w:val="nil"/>
              <w:bottom w:val="single" w:color="auto" w:sz="4" w:space="0"/>
              <w:right w:val="single" w:color="auto" w:sz="4" w:space="0"/>
            </w:tcBorders>
            <w:vAlign w:val="center"/>
          </w:tcPr>
          <w:p w14:paraId="792839FB">
            <w:pPr>
              <w:rPr>
                <w:color w:val="auto"/>
              </w:rPr>
            </w:pPr>
          </w:p>
        </w:tc>
        <w:tc>
          <w:tcPr>
            <w:tcW w:w="1134" w:type="dxa"/>
            <w:tcBorders>
              <w:top w:val="single" w:color="auto" w:sz="4" w:space="0"/>
              <w:left w:val="nil"/>
              <w:bottom w:val="single" w:color="auto" w:sz="4" w:space="0"/>
              <w:right w:val="single" w:color="auto" w:sz="4" w:space="0"/>
            </w:tcBorders>
            <w:vAlign w:val="center"/>
          </w:tcPr>
          <w:p w14:paraId="174559F5">
            <w:pPr>
              <w:rPr>
                <w:color w:val="auto"/>
              </w:rPr>
            </w:pPr>
          </w:p>
        </w:tc>
        <w:tc>
          <w:tcPr>
            <w:tcW w:w="1385" w:type="dxa"/>
            <w:tcBorders>
              <w:top w:val="single" w:color="auto" w:sz="4" w:space="0"/>
              <w:left w:val="nil"/>
              <w:bottom w:val="single" w:color="auto" w:sz="4" w:space="0"/>
              <w:right w:val="single" w:color="auto" w:sz="4" w:space="0"/>
            </w:tcBorders>
            <w:vAlign w:val="center"/>
          </w:tcPr>
          <w:p w14:paraId="5A98C493">
            <w:pPr>
              <w:rPr>
                <w:color w:val="auto"/>
              </w:rPr>
            </w:pPr>
          </w:p>
        </w:tc>
      </w:tr>
      <w:tr w14:paraId="4C38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B99D403">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67675ECA">
            <w:pPr>
              <w:rPr>
                <w:color w:val="auto"/>
              </w:rPr>
            </w:pPr>
            <w:r>
              <w:rPr>
                <w:rFonts w:hint="eastAsia"/>
                <w:color w:val="auto"/>
              </w:rPr>
              <w:t>▲多表之间支持多种数据处理操作，至少包含表与表间横向连接和纵向合并、数据按自定义条件筛选、按维度分组并汇总、添加公式计算字段、行列转置、去重等。</w:t>
            </w:r>
          </w:p>
        </w:tc>
        <w:tc>
          <w:tcPr>
            <w:tcW w:w="1134" w:type="dxa"/>
            <w:tcBorders>
              <w:top w:val="single" w:color="auto" w:sz="4" w:space="0"/>
              <w:left w:val="nil"/>
              <w:bottom w:val="single" w:color="auto" w:sz="4" w:space="0"/>
              <w:right w:val="single" w:color="auto" w:sz="4" w:space="0"/>
            </w:tcBorders>
            <w:vAlign w:val="center"/>
          </w:tcPr>
          <w:p w14:paraId="03AC5436">
            <w:pPr>
              <w:rPr>
                <w:color w:val="auto"/>
              </w:rPr>
            </w:pPr>
          </w:p>
        </w:tc>
        <w:tc>
          <w:tcPr>
            <w:tcW w:w="1134" w:type="dxa"/>
            <w:tcBorders>
              <w:top w:val="single" w:color="auto" w:sz="4" w:space="0"/>
              <w:left w:val="nil"/>
              <w:bottom w:val="single" w:color="auto" w:sz="4" w:space="0"/>
              <w:right w:val="single" w:color="auto" w:sz="4" w:space="0"/>
            </w:tcBorders>
            <w:vAlign w:val="center"/>
          </w:tcPr>
          <w:p w14:paraId="05275385">
            <w:pPr>
              <w:rPr>
                <w:color w:val="auto"/>
              </w:rPr>
            </w:pPr>
          </w:p>
        </w:tc>
        <w:tc>
          <w:tcPr>
            <w:tcW w:w="1385" w:type="dxa"/>
            <w:tcBorders>
              <w:top w:val="single" w:color="auto" w:sz="4" w:space="0"/>
              <w:left w:val="nil"/>
              <w:bottom w:val="single" w:color="auto" w:sz="4" w:space="0"/>
              <w:right w:val="single" w:color="auto" w:sz="4" w:space="0"/>
            </w:tcBorders>
            <w:vAlign w:val="center"/>
          </w:tcPr>
          <w:p w14:paraId="50BBB5C2">
            <w:pPr>
              <w:rPr>
                <w:color w:val="auto"/>
              </w:rPr>
            </w:pPr>
          </w:p>
        </w:tc>
      </w:tr>
      <w:tr w14:paraId="5B4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91B0308">
            <w:pPr>
              <w:pStyle w:val="40"/>
            </w:pPr>
            <w:r>
              <w:rPr>
                <w:rFonts w:hint="eastAsia"/>
              </w:rPr>
              <w:t>3</w:t>
            </w:r>
          </w:p>
        </w:tc>
        <w:tc>
          <w:tcPr>
            <w:tcW w:w="5810" w:type="dxa"/>
            <w:tcBorders>
              <w:top w:val="single" w:color="auto" w:sz="4" w:space="0"/>
              <w:left w:val="nil"/>
              <w:bottom w:val="single" w:color="auto" w:sz="4" w:space="0"/>
              <w:right w:val="single" w:color="auto" w:sz="4" w:space="0"/>
            </w:tcBorders>
            <w:vAlign w:val="center"/>
          </w:tcPr>
          <w:p w14:paraId="5C502C10">
            <w:pPr>
              <w:rPr>
                <w:color w:val="auto"/>
              </w:rPr>
            </w:pPr>
            <w:r>
              <w:rPr>
                <w:rFonts w:hint="eastAsia"/>
                <w:color w:val="auto"/>
              </w:rPr>
              <w:t>▲支持处理结果输出自动写入表单，支持配置自动更新写入和定时写入规则。</w:t>
            </w:r>
          </w:p>
        </w:tc>
        <w:tc>
          <w:tcPr>
            <w:tcW w:w="1134" w:type="dxa"/>
            <w:tcBorders>
              <w:top w:val="single" w:color="auto" w:sz="4" w:space="0"/>
              <w:left w:val="nil"/>
              <w:bottom w:val="single" w:color="auto" w:sz="4" w:space="0"/>
              <w:right w:val="single" w:color="auto" w:sz="4" w:space="0"/>
            </w:tcBorders>
            <w:vAlign w:val="center"/>
          </w:tcPr>
          <w:p w14:paraId="0AB739B5">
            <w:pPr>
              <w:rPr>
                <w:color w:val="auto"/>
              </w:rPr>
            </w:pPr>
          </w:p>
        </w:tc>
        <w:tc>
          <w:tcPr>
            <w:tcW w:w="1134" w:type="dxa"/>
            <w:tcBorders>
              <w:top w:val="single" w:color="auto" w:sz="4" w:space="0"/>
              <w:left w:val="nil"/>
              <w:bottom w:val="single" w:color="auto" w:sz="4" w:space="0"/>
              <w:right w:val="single" w:color="auto" w:sz="4" w:space="0"/>
            </w:tcBorders>
            <w:vAlign w:val="center"/>
          </w:tcPr>
          <w:p w14:paraId="322D8AB4">
            <w:pPr>
              <w:rPr>
                <w:color w:val="auto"/>
              </w:rPr>
            </w:pPr>
          </w:p>
        </w:tc>
        <w:tc>
          <w:tcPr>
            <w:tcW w:w="1385" w:type="dxa"/>
            <w:tcBorders>
              <w:top w:val="single" w:color="auto" w:sz="4" w:space="0"/>
              <w:left w:val="nil"/>
              <w:bottom w:val="single" w:color="auto" w:sz="4" w:space="0"/>
              <w:right w:val="single" w:color="auto" w:sz="4" w:space="0"/>
            </w:tcBorders>
            <w:vAlign w:val="center"/>
          </w:tcPr>
          <w:p w14:paraId="182EECD7">
            <w:pPr>
              <w:rPr>
                <w:color w:val="auto"/>
              </w:rPr>
            </w:pPr>
          </w:p>
        </w:tc>
      </w:tr>
      <w:tr w14:paraId="7B62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CF65371">
            <w:pPr>
              <w:pStyle w:val="40"/>
            </w:pPr>
            <w:r>
              <w:rPr>
                <w:rFonts w:hint="eastAsia"/>
              </w:rPr>
              <w:t>4</w:t>
            </w:r>
          </w:p>
        </w:tc>
        <w:tc>
          <w:tcPr>
            <w:tcW w:w="5810" w:type="dxa"/>
            <w:tcBorders>
              <w:top w:val="single" w:color="auto" w:sz="4" w:space="0"/>
              <w:left w:val="nil"/>
              <w:bottom w:val="single" w:color="auto" w:sz="4" w:space="0"/>
              <w:right w:val="single" w:color="auto" w:sz="4" w:space="0"/>
            </w:tcBorders>
            <w:vAlign w:val="center"/>
          </w:tcPr>
          <w:p w14:paraId="70EC070A">
            <w:pPr>
              <w:rPr>
                <w:color w:val="auto"/>
              </w:rPr>
            </w:pPr>
            <w:r>
              <w:rPr>
                <w:rFonts w:hint="eastAsia"/>
                <w:color w:val="auto"/>
              </w:rPr>
              <w:t>支持处理结果输出到数据看板，在报表看板中直接调用计算结果。</w:t>
            </w:r>
          </w:p>
        </w:tc>
        <w:tc>
          <w:tcPr>
            <w:tcW w:w="1134" w:type="dxa"/>
            <w:tcBorders>
              <w:top w:val="single" w:color="auto" w:sz="4" w:space="0"/>
              <w:left w:val="nil"/>
              <w:bottom w:val="single" w:color="auto" w:sz="4" w:space="0"/>
              <w:right w:val="single" w:color="auto" w:sz="4" w:space="0"/>
            </w:tcBorders>
            <w:vAlign w:val="center"/>
          </w:tcPr>
          <w:p w14:paraId="29D7078A">
            <w:pPr>
              <w:rPr>
                <w:color w:val="auto"/>
              </w:rPr>
            </w:pPr>
          </w:p>
        </w:tc>
        <w:tc>
          <w:tcPr>
            <w:tcW w:w="1134" w:type="dxa"/>
            <w:tcBorders>
              <w:top w:val="single" w:color="auto" w:sz="4" w:space="0"/>
              <w:left w:val="nil"/>
              <w:bottom w:val="single" w:color="auto" w:sz="4" w:space="0"/>
              <w:right w:val="single" w:color="auto" w:sz="4" w:space="0"/>
            </w:tcBorders>
            <w:vAlign w:val="center"/>
          </w:tcPr>
          <w:p w14:paraId="39490B2E">
            <w:pPr>
              <w:rPr>
                <w:color w:val="auto"/>
              </w:rPr>
            </w:pPr>
          </w:p>
        </w:tc>
        <w:tc>
          <w:tcPr>
            <w:tcW w:w="1385" w:type="dxa"/>
            <w:tcBorders>
              <w:top w:val="single" w:color="auto" w:sz="4" w:space="0"/>
              <w:left w:val="nil"/>
              <w:bottom w:val="single" w:color="auto" w:sz="4" w:space="0"/>
              <w:right w:val="single" w:color="auto" w:sz="4" w:space="0"/>
            </w:tcBorders>
            <w:vAlign w:val="center"/>
          </w:tcPr>
          <w:p w14:paraId="423EB994">
            <w:pPr>
              <w:rPr>
                <w:color w:val="auto"/>
              </w:rPr>
            </w:pPr>
          </w:p>
        </w:tc>
      </w:tr>
      <w:tr w14:paraId="76D5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3A78D61">
            <w:pPr>
              <w:pStyle w:val="40"/>
            </w:pPr>
            <w:r>
              <w:rPr>
                <w:rFonts w:hint="eastAsia"/>
              </w:rPr>
              <w:t>5</w:t>
            </w:r>
          </w:p>
        </w:tc>
        <w:tc>
          <w:tcPr>
            <w:tcW w:w="5810" w:type="dxa"/>
            <w:tcBorders>
              <w:top w:val="single" w:color="auto" w:sz="4" w:space="0"/>
              <w:left w:val="nil"/>
              <w:bottom w:val="single" w:color="auto" w:sz="4" w:space="0"/>
              <w:right w:val="single" w:color="auto" w:sz="4" w:space="0"/>
            </w:tcBorders>
            <w:vAlign w:val="center"/>
          </w:tcPr>
          <w:p w14:paraId="4DE77C9B">
            <w:pPr>
              <w:rPr>
                <w:color w:val="auto"/>
              </w:rPr>
            </w:pPr>
            <w:r>
              <w:rPr>
                <w:rFonts w:hint="eastAsia"/>
                <w:color w:val="auto"/>
              </w:rPr>
              <w:t>支持配置数据中间表，对单个表单或者多个表单进行数据预处理，处理功能包含聚合、拆表、合表等，处理结果支持被表单实时调用。</w:t>
            </w:r>
          </w:p>
        </w:tc>
        <w:tc>
          <w:tcPr>
            <w:tcW w:w="1134" w:type="dxa"/>
            <w:tcBorders>
              <w:top w:val="single" w:color="auto" w:sz="4" w:space="0"/>
              <w:left w:val="nil"/>
              <w:bottom w:val="single" w:color="auto" w:sz="4" w:space="0"/>
              <w:right w:val="single" w:color="auto" w:sz="4" w:space="0"/>
            </w:tcBorders>
            <w:vAlign w:val="center"/>
          </w:tcPr>
          <w:p w14:paraId="44A43341">
            <w:pPr>
              <w:rPr>
                <w:color w:val="auto"/>
              </w:rPr>
            </w:pPr>
          </w:p>
        </w:tc>
        <w:tc>
          <w:tcPr>
            <w:tcW w:w="1134" w:type="dxa"/>
            <w:tcBorders>
              <w:top w:val="single" w:color="auto" w:sz="4" w:space="0"/>
              <w:left w:val="nil"/>
              <w:bottom w:val="single" w:color="auto" w:sz="4" w:space="0"/>
              <w:right w:val="single" w:color="auto" w:sz="4" w:space="0"/>
            </w:tcBorders>
            <w:vAlign w:val="center"/>
          </w:tcPr>
          <w:p w14:paraId="6A4F227F">
            <w:pPr>
              <w:rPr>
                <w:color w:val="auto"/>
              </w:rPr>
            </w:pPr>
          </w:p>
        </w:tc>
        <w:tc>
          <w:tcPr>
            <w:tcW w:w="1385" w:type="dxa"/>
            <w:tcBorders>
              <w:top w:val="single" w:color="auto" w:sz="4" w:space="0"/>
              <w:left w:val="nil"/>
              <w:bottom w:val="single" w:color="auto" w:sz="4" w:space="0"/>
              <w:right w:val="single" w:color="auto" w:sz="4" w:space="0"/>
            </w:tcBorders>
            <w:vAlign w:val="center"/>
          </w:tcPr>
          <w:p w14:paraId="78EB52D3">
            <w:pPr>
              <w:rPr>
                <w:color w:val="auto"/>
              </w:rPr>
            </w:pPr>
          </w:p>
        </w:tc>
      </w:tr>
      <w:tr w14:paraId="23BE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5385EE3">
            <w:pPr>
              <w:pStyle w:val="40"/>
            </w:pPr>
            <w:r>
              <w:rPr>
                <w:rFonts w:hint="eastAsia"/>
              </w:rPr>
              <w:t>6</w:t>
            </w:r>
          </w:p>
        </w:tc>
        <w:tc>
          <w:tcPr>
            <w:tcW w:w="5810" w:type="dxa"/>
            <w:tcBorders>
              <w:top w:val="single" w:color="auto" w:sz="4" w:space="0"/>
              <w:left w:val="nil"/>
              <w:bottom w:val="single" w:color="auto" w:sz="4" w:space="0"/>
              <w:right w:val="single" w:color="auto" w:sz="4" w:space="0"/>
            </w:tcBorders>
            <w:vAlign w:val="center"/>
          </w:tcPr>
          <w:p w14:paraId="0E9D2547">
            <w:pPr>
              <w:rPr>
                <w:color w:val="auto"/>
              </w:rPr>
            </w:pPr>
            <w:r>
              <w:rPr>
                <w:rFonts w:hint="eastAsia"/>
                <w:color w:val="auto"/>
              </w:rPr>
              <w:t>支持预警、提醒功能。</w:t>
            </w:r>
          </w:p>
        </w:tc>
        <w:tc>
          <w:tcPr>
            <w:tcW w:w="1134" w:type="dxa"/>
            <w:tcBorders>
              <w:top w:val="single" w:color="auto" w:sz="4" w:space="0"/>
              <w:left w:val="nil"/>
              <w:bottom w:val="single" w:color="auto" w:sz="4" w:space="0"/>
              <w:right w:val="single" w:color="auto" w:sz="4" w:space="0"/>
            </w:tcBorders>
            <w:vAlign w:val="center"/>
          </w:tcPr>
          <w:p w14:paraId="3DABBD2E">
            <w:pPr>
              <w:rPr>
                <w:color w:val="auto"/>
              </w:rPr>
            </w:pPr>
          </w:p>
        </w:tc>
        <w:tc>
          <w:tcPr>
            <w:tcW w:w="1134" w:type="dxa"/>
            <w:tcBorders>
              <w:top w:val="single" w:color="auto" w:sz="4" w:space="0"/>
              <w:left w:val="nil"/>
              <w:bottom w:val="single" w:color="auto" w:sz="4" w:space="0"/>
              <w:right w:val="single" w:color="auto" w:sz="4" w:space="0"/>
            </w:tcBorders>
            <w:vAlign w:val="center"/>
          </w:tcPr>
          <w:p w14:paraId="008563E2">
            <w:pPr>
              <w:rPr>
                <w:color w:val="auto"/>
              </w:rPr>
            </w:pPr>
          </w:p>
        </w:tc>
        <w:tc>
          <w:tcPr>
            <w:tcW w:w="1385" w:type="dxa"/>
            <w:tcBorders>
              <w:top w:val="single" w:color="auto" w:sz="4" w:space="0"/>
              <w:left w:val="nil"/>
              <w:bottom w:val="single" w:color="auto" w:sz="4" w:space="0"/>
              <w:right w:val="single" w:color="auto" w:sz="4" w:space="0"/>
            </w:tcBorders>
            <w:vAlign w:val="center"/>
          </w:tcPr>
          <w:p w14:paraId="1855843C">
            <w:pPr>
              <w:rPr>
                <w:color w:val="auto"/>
              </w:rPr>
            </w:pPr>
          </w:p>
        </w:tc>
      </w:tr>
      <w:tr w14:paraId="66F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70" w:type="dxa"/>
            <w:gridSpan w:val="5"/>
            <w:tcBorders>
              <w:top w:val="single" w:color="auto" w:sz="4" w:space="0"/>
              <w:left w:val="single" w:color="auto" w:sz="4" w:space="0"/>
              <w:bottom w:val="single" w:color="auto" w:sz="4" w:space="0"/>
              <w:right w:val="single" w:color="auto" w:sz="4" w:space="0"/>
            </w:tcBorders>
            <w:vAlign w:val="center"/>
          </w:tcPr>
          <w:p w14:paraId="654A1AEB">
            <w:pPr>
              <w:rPr>
                <w:color w:val="auto"/>
              </w:rPr>
            </w:pPr>
            <w:r>
              <w:rPr>
                <w:rFonts w:hint="eastAsia"/>
                <w:color w:val="auto"/>
              </w:rPr>
              <w:t>报表分析</w:t>
            </w:r>
          </w:p>
        </w:tc>
      </w:tr>
      <w:tr w14:paraId="183C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3640E4E">
            <w:pPr>
              <w:pStyle w:val="40"/>
            </w:pPr>
            <w:r>
              <w:rPr>
                <w:rFonts w:hint="eastAsia"/>
              </w:rPr>
              <w:t>1</w:t>
            </w:r>
          </w:p>
        </w:tc>
        <w:tc>
          <w:tcPr>
            <w:tcW w:w="5810" w:type="dxa"/>
            <w:tcBorders>
              <w:top w:val="single" w:color="auto" w:sz="4" w:space="0"/>
              <w:left w:val="nil"/>
              <w:bottom w:val="single" w:color="auto" w:sz="4" w:space="0"/>
              <w:right w:val="single" w:color="auto" w:sz="4" w:space="0"/>
            </w:tcBorders>
            <w:vAlign w:val="center"/>
          </w:tcPr>
          <w:p w14:paraId="708594A2">
            <w:pPr>
              <w:rPr>
                <w:color w:val="auto"/>
              </w:rPr>
            </w:pPr>
            <w:r>
              <w:rPr>
                <w:rFonts w:hint="eastAsia"/>
                <w:color w:val="auto"/>
              </w:rPr>
              <w:t>★数据来源至少支持表单、数据处理、数据聚合三种方式。</w:t>
            </w:r>
          </w:p>
        </w:tc>
        <w:tc>
          <w:tcPr>
            <w:tcW w:w="1134" w:type="dxa"/>
            <w:tcBorders>
              <w:top w:val="single" w:color="auto" w:sz="4" w:space="0"/>
              <w:left w:val="nil"/>
              <w:bottom w:val="single" w:color="auto" w:sz="4" w:space="0"/>
              <w:right w:val="single" w:color="auto" w:sz="4" w:space="0"/>
            </w:tcBorders>
            <w:vAlign w:val="center"/>
          </w:tcPr>
          <w:p w14:paraId="4FA403EF">
            <w:pPr>
              <w:rPr>
                <w:color w:val="auto"/>
              </w:rPr>
            </w:pPr>
          </w:p>
        </w:tc>
        <w:tc>
          <w:tcPr>
            <w:tcW w:w="1134" w:type="dxa"/>
            <w:tcBorders>
              <w:top w:val="single" w:color="auto" w:sz="4" w:space="0"/>
              <w:left w:val="nil"/>
              <w:bottom w:val="single" w:color="auto" w:sz="4" w:space="0"/>
              <w:right w:val="single" w:color="auto" w:sz="4" w:space="0"/>
            </w:tcBorders>
            <w:vAlign w:val="center"/>
          </w:tcPr>
          <w:p w14:paraId="6237D60B">
            <w:pPr>
              <w:rPr>
                <w:color w:val="auto"/>
              </w:rPr>
            </w:pPr>
          </w:p>
        </w:tc>
        <w:tc>
          <w:tcPr>
            <w:tcW w:w="1385" w:type="dxa"/>
            <w:tcBorders>
              <w:top w:val="single" w:color="auto" w:sz="4" w:space="0"/>
              <w:left w:val="nil"/>
              <w:bottom w:val="single" w:color="auto" w:sz="4" w:space="0"/>
              <w:right w:val="single" w:color="auto" w:sz="4" w:space="0"/>
            </w:tcBorders>
            <w:vAlign w:val="center"/>
          </w:tcPr>
          <w:p w14:paraId="131B4542">
            <w:pPr>
              <w:rPr>
                <w:color w:val="auto"/>
              </w:rPr>
            </w:pPr>
          </w:p>
        </w:tc>
      </w:tr>
      <w:tr w14:paraId="0B5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8C40B12">
            <w:pPr>
              <w:pStyle w:val="40"/>
            </w:pPr>
            <w:r>
              <w:rPr>
                <w:rFonts w:hint="eastAsia"/>
              </w:rPr>
              <w:t>2</w:t>
            </w:r>
          </w:p>
        </w:tc>
        <w:tc>
          <w:tcPr>
            <w:tcW w:w="5810" w:type="dxa"/>
            <w:tcBorders>
              <w:top w:val="single" w:color="auto" w:sz="4" w:space="0"/>
              <w:left w:val="nil"/>
              <w:bottom w:val="single" w:color="auto" w:sz="4" w:space="0"/>
              <w:right w:val="single" w:color="auto" w:sz="4" w:space="0"/>
            </w:tcBorders>
            <w:vAlign w:val="center"/>
          </w:tcPr>
          <w:p w14:paraId="43E9A4DB">
            <w:pPr>
              <w:rPr>
                <w:color w:val="auto"/>
              </w:rPr>
            </w:pPr>
            <w:r>
              <w:rPr>
                <w:rFonts w:hint="eastAsia"/>
                <w:color w:val="auto"/>
              </w:rPr>
              <w:t>▲图表类型支持20种及以上，至少包含点地图、地图、散点图、气泡图、甘特图、日历、雷达图、数据管理表格、流程分析表。</w:t>
            </w:r>
          </w:p>
        </w:tc>
        <w:tc>
          <w:tcPr>
            <w:tcW w:w="1134" w:type="dxa"/>
            <w:tcBorders>
              <w:top w:val="single" w:color="auto" w:sz="4" w:space="0"/>
              <w:left w:val="nil"/>
              <w:bottom w:val="single" w:color="auto" w:sz="4" w:space="0"/>
              <w:right w:val="single" w:color="auto" w:sz="4" w:space="0"/>
            </w:tcBorders>
            <w:vAlign w:val="center"/>
          </w:tcPr>
          <w:p w14:paraId="75662DF0">
            <w:pPr>
              <w:rPr>
                <w:color w:val="auto"/>
              </w:rPr>
            </w:pPr>
          </w:p>
        </w:tc>
        <w:tc>
          <w:tcPr>
            <w:tcW w:w="1134" w:type="dxa"/>
            <w:tcBorders>
              <w:top w:val="single" w:color="auto" w:sz="4" w:space="0"/>
              <w:left w:val="nil"/>
              <w:bottom w:val="single" w:color="auto" w:sz="4" w:space="0"/>
              <w:right w:val="single" w:color="auto" w:sz="4" w:space="0"/>
            </w:tcBorders>
            <w:vAlign w:val="center"/>
          </w:tcPr>
          <w:p w14:paraId="6BFD3BDB">
            <w:pPr>
              <w:rPr>
                <w:color w:val="auto"/>
              </w:rPr>
            </w:pPr>
          </w:p>
        </w:tc>
        <w:tc>
          <w:tcPr>
            <w:tcW w:w="1385" w:type="dxa"/>
            <w:tcBorders>
              <w:top w:val="single" w:color="auto" w:sz="4" w:space="0"/>
              <w:left w:val="nil"/>
              <w:bottom w:val="single" w:color="auto" w:sz="4" w:space="0"/>
              <w:right w:val="single" w:color="auto" w:sz="4" w:space="0"/>
            </w:tcBorders>
            <w:vAlign w:val="center"/>
          </w:tcPr>
          <w:p w14:paraId="6CEE4182">
            <w:pPr>
              <w:rPr>
                <w:color w:val="auto"/>
              </w:rPr>
            </w:pPr>
          </w:p>
        </w:tc>
      </w:tr>
      <w:tr w14:paraId="1E0F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1F55FD5">
            <w:pPr>
              <w:pStyle w:val="40"/>
            </w:pPr>
            <w:r>
              <w:rPr>
                <w:rFonts w:hint="eastAsia"/>
              </w:rPr>
              <w:t>3</w:t>
            </w:r>
          </w:p>
        </w:tc>
        <w:tc>
          <w:tcPr>
            <w:tcW w:w="5810" w:type="dxa"/>
            <w:tcBorders>
              <w:top w:val="single" w:color="auto" w:sz="4" w:space="0"/>
              <w:left w:val="nil"/>
              <w:bottom w:val="single" w:color="auto" w:sz="4" w:space="0"/>
              <w:right w:val="single" w:color="auto" w:sz="4" w:space="0"/>
            </w:tcBorders>
            <w:vAlign w:val="center"/>
          </w:tcPr>
          <w:p w14:paraId="2D6A4333">
            <w:pPr>
              <w:rPr>
                <w:color w:val="auto"/>
              </w:rPr>
            </w:pPr>
            <w:r>
              <w:rPr>
                <w:rFonts w:hint="eastAsia"/>
                <w:color w:val="auto"/>
              </w:rPr>
              <w:t>支持各图表和看板整体分别进行配色设置，优化展示效果，支持图表标题、内容、指标等分别进行配色设置。</w:t>
            </w:r>
          </w:p>
        </w:tc>
        <w:tc>
          <w:tcPr>
            <w:tcW w:w="1134" w:type="dxa"/>
            <w:tcBorders>
              <w:top w:val="single" w:color="auto" w:sz="4" w:space="0"/>
              <w:left w:val="nil"/>
              <w:bottom w:val="single" w:color="auto" w:sz="4" w:space="0"/>
              <w:right w:val="single" w:color="auto" w:sz="4" w:space="0"/>
            </w:tcBorders>
            <w:vAlign w:val="center"/>
          </w:tcPr>
          <w:p w14:paraId="60A0C6AE">
            <w:pPr>
              <w:rPr>
                <w:color w:val="auto"/>
              </w:rPr>
            </w:pPr>
          </w:p>
        </w:tc>
        <w:tc>
          <w:tcPr>
            <w:tcW w:w="1134" w:type="dxa"/>
            <w:tcBorders>
              <w:top w:val="single" w:color="auto" w:sz="4" w:space="0"/>
              <w:left w:val="nil"/>
              <w:bottom w:val="single" w:color="auto" w:sz="4" w:space="0"/>
              <w:right w:val="single" w:color="auto" w:sz="4" w:space="0"/>
            </w:tcBorders>
            <w:vAlign w:val="center"/>
          </w:tcPr>
          <w:p w14:paraId="12F2E22C">
            <w:pPr>
              <w:rPr>
                <w:color w:val="auto"/>
              </w:rPr>
            </w:pPr>
          </w:p>
        </w:tc>
        <w:tc>
          <w:tcPr>
            <w:tcW w:w="1385" w:type="dxa"/>
            <w:tcBorders>
              <w:top w:val="single" w:color="auto" w:sz="4" w:space="0"/>
              <w:left w:val="nil"/>
              <w:bottom w:val="single" w:color="auto" w:sz="4" w:space="0"/>
              <w:right w:val="single" w:color="auto" w:sz="4" w:space="0"/>
            </w:tcBorders>
            <w:vAlign w:val="center"/>
          </w:tcPr>
          <w:p w14:paraId="0ADB671D">
            <w:pPr>
              <w:rPr>
                <w:color w:val="auto"/>
              </w:rPr>
            </w:pPr>
          </w:p>
        </w:tc>
      </w:tr>
      <w:tr w14:paraId="0697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1166E1E">
            <w:pPr>
              <w:pStyle w:val="40"/>
            </w:pPr>
            <w:r>
              <w:rPr>
                <w:rFonts w:hint="eastAsia"/>
              </w:rPr>
              <w:t>4</w:t>
            </w:r>
          </w:p>
        </w:tc>
        <w:tc>
          <w:tcPr>
            <w:tcW w:w="5810" w:type="dxa"/>
            <w:tcBorders>
              <w:top w:val="single" w:color="auto" w:sz="4" w:space="0"/>
              <w:left w:val="nil"/>
              <w:bottom w:val="single" w:color="auto" w:sz="4" w:space="0"/>
              <w:right w:val="single" w:color="auto" w:sz="4" w:space="0"/>
            </w:tcBorders>
            <w:vAlign w:val="center"/>
          </w:tcPr>
          <w:p w14:paraId="648B4B5D">
            <w:pPr>
              <w:rPr>
                <w:color w:val="auto"/>
              </w:rPr>
            </w:pPr>
            <w:r>
              <w:rPr>
                <w:rFonts w:hint="eastAsia"/>
                <w:color w:val="auto"/>
              </w:rPr>
              <w:t>▲可配置图表间数据联动关系，便于查看时进行数据联动查询。</w:t>
            </w:r>
          </w:p>
        </w:tc>
        <w:tc>
          <w:tcPr>
            <w:tcW w:w="1134" w:type="dxa"/>
            <w:tcBorders>
              <w:top w:val="single" w:color="auto" w:sz="4" w:space="0"/>
              <w:left w:val="nil"/>
              <w:bottom w:val="single" w:color="auto" w:sz="4" w:space="0"/>
              <w:right w:val="single" w:color="auto" w:sz="4" w:space="0"/>
            </w:tcBorders>
            <w:vAlign w:val="center"/>
          </w:tcPr>
          <w:p w14:paraId="4ED72027">
            <w:pPr>
              <w:rPr>
                <w:color w:val="auto"/>
              </w:rPr>
            </w:pPr>
          </w:p>
        </w:tc>
        <w:tc>
          <w:tcPr>
            <w:tcW w:w="1134" w:type="dxa"/>
            <w:tcBorders>
              <w:top w:val="single" w:color="auto" w:sz="4" w:space="0"/>
              <w:left w:val="nil"/>
              <w:bottom w:val="single" w:color="auto" w:sz="4" w:space="0"/>
              <w:right w:val="single" w:color="auto" w:sz="4" w:space="0"/>
            </w:tcBorders>
            <w:vAlign w:val="center"/>
          </w:tcPr>
          <w:p w14:paraId="2DF94B31">
            <w:pPr>
              <w:rPr>
                <w:color w:val="auto"/>
              </w:rPr>
            </w:pPr>
          </w:p>
        </w:tc>
        <w:tc>
          <w:tcPr>
            <w:tcW w:w="1385" w:type="dxa"/>
            <w:tcBorders>
              <w:top w:val="single" w:color="auto" w:sz="4" w:space="0"/>
              <w:left w:val="nil"/>
              <w:bottom w:val="single" w:color="auto" w:sz="4" w:space="0"/>
              <w:right w:val="single" w:color="auto" w:sz="4" w:space="0"/>
            </w:tcBorders>
            <w:vAlign w:val="center"/>
          </w:tcPr>
          <w:p w14:paraId="4FC6542B">
            <w:pPr>
              <w:rPr>
                <w:color w:val="auto"/>
              </w:rPr>
            </w:pPr>
          </w:p>
        </w:tc>
      </w:tr>
      <w:tr w14:paraId="4CB5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07A2E331">
            <w:pPr>
              <w:pStyle w:val="40"/>
            </w:pPr>
            <w:r>
              <w:rPr>
                <w:rFonts w:hint="eastAsia"/>
              </w:rPr>
              <w:t>5</w:t>
            </w:r>
          </w:p>
        </w:tc>
        <w:tc>
          <w:tcPr>
            <w:tcW w:w="5810" w:type="dxa"/>
            <w:tcBorders>
              <w:top w:val="single" w:color="auto" w:sz="4" w:space="0"/>
              <w:left w:val="nil"/>
              <w:bottom w:val="single" w:color="auto" w:sz="4" w:space="0"/>
              <w:right w:val="single" w:color="auto" w:sz="4" w:space="0"/>
            </w:tcBorders>
            <w:vAlign w:val="center"/>
          </w:tcPr>
          <w:p w14:paraId="0EF281C1">
            <w:pPr>
              <w:rPr>
                <w:color w:val="auto"/>
              </w:rPr>
            </w:pPr>
            <w:r>
              <w:rPr>
                <w:rFonts w:hint="eastAsia"/>
                <w:color w:val="auto"/>
              </w:rPr>
              <w:t>▲报表支持筛选查询，筛选条件间支持配置联动逻辑关系，实现层级筛选。</w:t>
            </w:r>
          </w:p>
        </w:tc>
        <w:tc>
          <w:tcPr>
            <w:tcW w:w="1134" w:type="dxa"/>
            <w:tcBorders>
              <w:top w:val="single" w:color="auto" w:sz="4" w:space="0"/>
              <w:left w:val="nil"/>
              <w:bottom w:val="single" w:color="auto" w:sz="4" w:space="0"/>
              <w:right w:val="single" w:color="auto" w:sz="4" w:space="0"/>
            </w:tcBorders>
            <w:vAlign w:val="center"/>
          </w:tcPr>
          <w:p w14:paraId="08689060">
            <w:pPr>
              <w:rPr>
                <w:color w:val="auto"/>
              </w:rPr>
            </w:pPr>
          </w:p>
        </w:tc>
        <w:tc>
          <w:tcPr>
            <w:tcW w:w="1134" w:type="dxa"/>
            <w:tcBorders>
              <w:top w:val="single" w:color="auto" w:sz="4" w:space="0"/>
              <w:left w:val="nil"/>
              <w:bottom w:val="single" w:color="auto" w:sz="4" w:space="0"/>
              <w:right w:val="single" w:color="auto" w:sz="4" w:space="0"/>
            </w:tcBorders>
            <w:vAlign w:val="center"/>
          </w:tcPr>
          <w:p w14:paraId="2E775C63">
            <w:pPr>
              <w:rPr>
                <w:color w:val="auto"/>
              </w:rPr>
            </w:pPr>
          </w:p>
        </w:tc>
        <w:tc>
          <w:tcPr>
            <w:tcW w:w="1385" w:type="dxa"/>
            <w:tcBorders>
              <w:top w:val="single" w:color="auto" w:sz="4" w:space="0"/>
              <w:left w:val="nil"/>
              <w:bottom w:val="single" w:color="auto" w:sz="4" w:space="0"/>
              <w:right w:val="single" w:color="auto" w:sz="4" w:space="0"/>
            </w:tcBorders>
            <w:vAlign w:val="center"/>
          </w:tcPr>
          <w:p w14:paraId="34200D92">
            <w:pPr>
              <w:rPr>
                <w:color w:val="auto"/>
              </w:rPr>
            </w:pPr>
          </w:p>
        </w:tc>
      </w:tr>
      <w:tr w14:paraId="3884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6400E063">
            <w:pPr>
              <w:pStyle w:val="40"/>
            </w:pPr>
            <w:r>
              <w:rPr>
                <w:rFonts w:hint="eastAsia"/>
              </w:rPr>
              <w:t>6</w:t>
            </w:r>
          </w:p>
        </w:tc>
        <w:tc>
          <w:tcPr>
            <w:tcW w:w="5810" w:type="dxa"/>
            <w:tcBorders>
              <w:top w:val="single" w:color="auto" w:sz="4" w:space="0"/>
              <w:left w:val="nil"/>
              <w:bottom w:val="single" w:color="auto" w:sz="4" w:space="0"/>
              <w:right w:val="single" w:color="auto" w:sz="4" w:space="0"/>
            </w:tcBorders>
            <w:vAlign w:val="center"/>
          </w:tcPr>
          <w:p w14:paraId="10AD301A">
            <w:pPr>
              <w:rPr>
                <w:color w:val="auto"/>
              </w:rPr>
            </w:pPr>
            <w:r>
              <w:rPr>
                <w:rFonts w:hint="eastAsia"/>
                <w:color w:val="auto"/>
              </w:rPr>
              <w:t>支持数据钻取，可通过图表钻取到明细数据。</w:t>
            </w:r>
          </w:p>
        </w:tc>
        <w:tc>
          <w:tcPr>
            <w:tcW w:w="1134" w:type="dxa"/>
            <w:tcBorders>
              <w:top w:val="single" w:color="auto" w:sz="4" w:space="0"/>
              <w:left w:val="nil"/>
              <w:bottom w:val="single" w:color="auto" w:sz="4" w:space="0"/>
              <w:right w:val="single" w:color="auto" w:sz="4" w:space="0"/>
            </w:tcBorders>
            <w:vAlign w:val="center"/>
          </w:tcPr>
          <w:p w14:paraId="5F1B0BC4">
            <w:pPr>
              <w:rPr>
                <w:color w:val="auto"/>
              </w:rPr>
            </w:pPr>
          </w:p>
        </w:tc>
        <w:tc>
          <w:tcPr>
            <w:tcW w:w="1134" w:type="dxa"/>
            <w:tcBorders>
              <w:top w:val="single" w:color="auto" w:sz="4" w:space="0"/>
              <w:left w:val="nil"/>
              <w:bottom w:val="single" w:color="auto" w:sz="4" w:space="0"/>
              <w:right w:val="single" w:color="auto" w:sz="4" w:space="0"/>
            </w:tcBorders>
            <w:vAlign w:val="center"/>
          </w:tcPr>
          <w:p w14:paraId="2B9F527E">
            <w:pPr>
              <w:rPr>
                <w:color w:val="auto"/>
              </w:rPr>
            </w:pPr>
          </w:p>
        </w:tc>
        <w:tc>
          <w:tcPr>
            <w:tcW w:w="1385" w:type="dxa"/>
            <w:tcBorders>
              <w:top w:val="single" w:color="auto" w:sz="4" w:space="0"/>
              <w:left w:val="nil"/>
              <w:bottom w:val="single" w:color="auto" w:sz="4" w:space="0"/>
              <w:right w:val="single" w:color="auto" w:sz="4" w:space="0"/>
            </w:tcBorders>
            <w:vAlign w:val="center"/>
          </w:tcPr>
          <w:p w14:paraId="1A2C8205">
            <w:pPr>
              <w:rPr>
                <w:color w:val="auto"/>
              </w:rPr>
            </w:pPr>
          </w:p>
        </w:tc>
      </w:tr>
      <w:tr w14:paraId="0BA8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55D8364">
            <w:pPr>
              <w:pStyle w:val="40"/>
            </w:pPr>
            <w:r>
              <w:rPr>
                <w:rFonts w:hint="eastAsia"/>
              </w:rPr>
              <w:t>7</w:t>
            </w:r>
          </w:p>
        </w:tc>
        <w:tc>
          <w:tcPr>
            <w:tcW w:w="5810" w:type="dxa"/>
            <w:tcBorders>
              <w:top w:val="single" w:color="auto" w:sz="4" w:space="0"/>
              <w:left w:val="nil"/>
              <w:bottom w:val="single" w:color="auto" w:sz="4" w:space="0"/>
              <w:right w:val="single" w:color="auto" w:sz="4" w:space="0"/>
            </w:tcBorders>
            <w:vAlign w:val="center"/>
          </w:tcPr>
          <w:p w14:paraId="7F8675EE">
            <w:pPr>
              <w:rPr>
                <w:color w:val="auto"/>
              </w:rPr>
            </w:pPr>
            <w:r>
              <w:rPr>
                <w:rFonts w:hint="eastAsia"/>
                <w:color w:val="auto"/>
              </w:rPr>
              <w:t>▲可设置报表自动定时查阅提醒。</w:t>
            </w:r>
          </w:p>
        </w:tc>
        <w:tc>
          <w:tcPr>
            <w:tcW w:w="1134" w:type="dxa"/>
            <w:tcBorders>
              <w:top w:val="single" w:color="auto" w:sz="4" w:space="0"/>
              <w:left w:val="nil"/>
              <w:bottom w:val="single" w:color="auto" w:sz="4" w:space="0"/>
              <w:right w:val="single" w:color="auto" w:sz="4" w:space="0"/>
            </w:tcBorders>
            <w:vAlign w:val="center"/>
          </w:tcPr>
          <w:p w14:paraId="64672D29">
            <w:pPr>
              <w:rPr>
                <w:color w:val="auto"/>
              </w:rPr>
            </w:pPr>
          </w:p>
        </w:tc>
        <w:tc>
          <w:tcPr>
            <w:tcW w:w="1134" w:type="dxa"/>
            <w:tcBorders>
              <w:top w:val="single" w:color="auto" w:sz="4" w:space="0"/>
              <w:left w:val="nil"/>
              <w:bottom w:val="single" w:color="auto" w:sz="4" w:space="0"/>
              <w:right w:val="single" w:color="auto" w:sz="4" w:space="0"/>
            </w:tcBorders>
            <w:vAlign w:val="center"/>
          </w:tcPr>
          <w:p w14:paraId="653C67EB">
            <w:pPr>
              <w:rPr>
                <w:color w:val="auto"/>
              </w:rPr>
            </w:pPr>
          </w:p>
        </w:tc>
        <w:tc>
          <w:tcPr>
            <w:tcW w:w="1385" w:type="dxa"/>
            <w:tcBorders>
              <w:top w:val="single" w:color="auto" w:sz="4" w:space="0"/>
              <w:left w:val="nil"/>
              <w:bottom w:val="single" w:color="auto" w:sz="4" w:space="0"/>
              <w:right w:val="single" w:color="auto" w:sz="4" w:space="0"/>
            </w:tcBorders>
            <w:vAlign w:val="center"/>
          </w:tcPr>
          <w:p w14:paraId="596B7D08">
            <w:pPr>
              <w:rPr>
                <w:color w:val="auto"/>
              </w:rPr>
            </w:pPr>
          </w:p>
        </w:tc>
      </w:tr>
    </w:tbl>
    <w:p w14:paraId="5D3D7E11">
      <w:pPr>
        <w:rPr>
          <w:color w:val="auto"/>
        </w:rPr>
      </w:pPr>
    </w:p>
    <w:p w14:paraId="1B1A4AE3">
      <w:pPr>
        <w:rPr>
          <w:color w:val="auto"/>
        </w:rPr>
      </w:pPr>
      <w:r>
        <w:rPr>
          <w:rFonts w:hint="eastAsia"/>
          <w:color w:val="auto"/>
        </w:rPr>
        <w:t>备注：</w:t>
      </w:r>
    </w:p>
    <w:p w14:paraId="5AB7B1D7">
      <w:pPr>
        <w:rPr>
          <w:color w:val="auto"/>
        </w:rPr>
      </w:pPr>
      <w:r>
        <w:rPr>
          <w:rFonts w:hint="eastAsia"/>
          <w:color w:val="auto"/>
        </w:rPr>
        <w:t>1.省略部分请供应商对照谈判文件技术指标的要求，按照上表格格式编写。</w:t>
      </w:r>
    </w:p>
    <w:p w14:paraId="542E7AF7">
      <w:pPr>
        <w:rPr>
          <w:color w:val="auto"/>
        </w:rPr>
      </w:pPr>
      <w:r>
        <w:rPr>
          <w:color w:val="auto"/>
        </w:rPr>
        <w:t>2.</w:t>
      </w:r>
      <w:r>
        <w:rPr>
          <w:rFonts w:hint="eastAsia"/>
          <w:color w:val="auto"/>
        </w:rPr>
        <w:t>采购文件有要求提供证明材料的，必须要提供证明材料，否则视为未实质性响应。此外在技术条款响应表里须注明该证明文件的具体位置如页码或序号。</w:t>
      </w:r>
    </w:p>
    <w:p w14:paraId="16304B39">
      <w:pPr>
        <w:rPr>
          <w:color w:val="auto"/>
        </w:rPr>
      </w:pPr>
      <w:r>
        <w:rPr>
          <w:color w:val="auto"/>
        </w:rPr>
        <w:t>3.</w:t>
      </w:r>
      <w:r>
        <w:rPr>
          <w:rFonts w:hint="eastAsia"/>
          <w:color w:val="auto"/>
        </w:rPr>
        <w:t>如果对其中某些条款不响应时，也应在文件中逐条列出。</w:t>
      </w:r>
    </w:p>
    <w:p w14:paraId="55C275FD">
      <w:pPr>
        <w:rPr>
          <w:color w:val="auto"/>
        </w:rPr>
      </w:pPr>
      <w:r>
        <w:rPr>
          <w:color w:val="auto"/>
        </w:rPr>
        <w:t>4.</w:t>
      </w:r>
      <w:r>
        <w:rPr>
          <w:rFonts w:hint="eastAsia"/>
          <w:color w:val="auto"/>
        </w:rPr>
        <w:t>如有漏写视为负偏离。</w:t>
      </w:r>
    </w:p>
    <w:p w14:paraId="2035522A">
      <w:pPr>
        <w:rPr>
          <w:color w:val="auto"/>
        </w:rPr>
      </w:pPr>
    </w:p>
    <w:p w14:paraId="75FAB84F">
      <w:pPr>
        <w:rPr>
          <w:color w:val="auto"/>
        </w:rPr>
      </w:pPr>
    </w:p>
    <w:p w14:paraId="389DD446">
      <w:pPr>
        <w:rPr>
          <w:color w:val="auto"/>
        </w:rPr>
      </w:pPr>
      <w:r>
        <w:rPr>
          <w:rFonts w:hint="eastAsia"/>
          <w:color w:val="auto"/>
        </w:rPr>
        <w:t xml:space="preserve">供 应 商（公章）：                                      </w:t>
      </w:r>
    </w:p>
    <w:p w14:paraId="19E5520E">
      <w:pPr>
        <w:rPr>
          <w:color w:val="auto"/>
        </w:rPr>
      </w:pPr>
      <w:r>
        <w:rPr>
          <w:rFonts w:hint="eastAsia"/>
          <w:color w:val="auto"/>
        </w:rPr>
        <w:t xml:space="preserve">授权代表（签字）：                                      </w:t>
      </w:r>
    </w:p>
    <w:p w14:paraId="0D89A7A6">
      <w:pPr>
        <w:rPr>
          <w:color w:val="auto"/>
        </w:rPr>
      </w:pPr>
      <w:r>
        <w:rPr>
          <w:rFonts w:hint="eastAsia"/>
          <w:color w:val="auto"/>
        </w:rPr>
        <w:t>日            期：2025年           月          日</w:t>
      </w:r>
    </w:p>
    <w:bookmarkEnd w:id="0"/>
    <w:p w14:paraId="36B3E7D1">
      <w:pPr>
        <w:rPr>
          <w:rFonts w:ascii="仿宋" w:hAnsi="仿宋"/>
          <w:color w:val="auto"/>
          <w:szCs w:val="24"/>
        </w:rPr>
      </w:pPr>
    </w:p>
    <w:sectPr>
      <w:pgSz w:w="11906" w:h="16838"/>
      <w:pgMar w:top="1440" w:right="1800" w:bottom="1440" w:left="1800" w:header="850"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489D">
    <w:pPr>
      <w:pStyle w:val="9"/>
      <w:rPr>
        <w:rStyle w:val="21"/>
      </w:rPr>
    </w:pPr>
  </w:p>
  <w:p w14:paraId="0CAB9DA2">
    <w:pPr>
      <w:pStyle w:val="9"/>
    </w:pPr>
    <w:r>
      <w:t xml:space="preserve">                               </w:t>
    </w:r>
    <w:r>
      <w:rPr>
        <w:rFonts w:hint="eastAsia"/>
      </w:rPr>
      <w:t xml:space="preserve">     </w:t>
    </w:r>
    <w:r>
      <w:fldChar w:fldCharType="begin"/>
    </w:r>
    <w:r>
      <w:rPr>
        <w:rStyle w:val="21"/>
      </w:rPr>
      <w:instrText xml:space="preserve"> PAGE </w:instrText>
    </w:r>
    <w:r>
      <w:fldChar w:fldCharType="separate"/>
    </w:r>
    <w:r>
      <w:rPr>
        <w:rStyle w:val="21"/>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72A3">
    <w:pPr>
      <w:pStyle w:val="9"/>
      <w:rPr>
        <w:rStyle w:val="21"/>
      </w:rPr>
    </w:pPr>
    <w:r>
      <w:fldChar w:fldCharType="begin"/>
    </w:r>
    <w:r>
      <w:rPr>
        <w:rStyle w:val="21"/>
      </w:rPr>
      <w:instrText xml:space="preserve">PAGE  </w:instrText>
    </w:r>
    <w:r>
      <w:fldChar w:fldCharType="separate"/>
    </w:r>
    <w:r>
      <w:rPr>
        <w:rStyle w:val="21"/>
      </w:rPr>
      <w:t>1</w:t>
    </w:r>
    <w:r>
      <w:fldChar w:fldCharType="end"/>
    </w:r>
  </w:p>
  <w:p w14:paraId="5D47AFD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A245B"/>
    <w:multiLevelType w:val="multilevel"/>
    <w:tmpl w:val="60FA245B"/>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 w:name="KSO_WPS_MARK_KEY" w:val="1d74eda0-e31a-4a26-a039-cc9207328059"/>
  </w:docVars>
  <w:rsids>
    <w:rsidRoot w:val="00172A27"/>
    <w:rsid w:val="000002F8"/>
    <w:rsid w:val="00000A45"/>
    <w:rsid w:val="00001F2F"/>
    <w:rsid w:val="00002E50"/>
    <w:rsid w:val="00003397"/>
    <w:rsid w:val="00003922"/>
    <w:rsid w:val="00003DE1"/>
    <w:rsid w:val="000061EA"/>
    <w:rsid w:val="00007536"/>
    <w:rsid w:val="00007F0C"/>
    <w:rsid w:val="00011001"/>
    <w:rsid w:val="000131BD"/>
    <w:rsid w:val="00014437"/>
    <w:rsid w:val="00014675"/>
    <w:rsid w:val="00014A0A"/>
    <w:rsid w:val="00015B8D"/>
    <w:rsid w:val="00020526"/>
    <w:rsid w:val="000215F2"/>
    <w:rsid w:val="000219F1"/>
    <w:rsid w:val="00022D4D"/>
    <w:rsid w:val="00023C10"/>
    <w:rsid w:val="0002508A"/>
    <w:rsid w:val="0002613E"/>
    <w:rsid w:val="00030AF1"/>
    <w:rsid w:val="00030C08"/>
    <w:rsid w:val="00031AA9"/>
    <w:rsid w:val="0003338B"/>
    <w:rsid w:val="00044CCB"/>
    <w:rsid w:val="00046560"/>
    <w:rsid w:val="00055DAC"/>
    <w:rsid w:val="000641EF"/>
    <w:rsid w:val="00066C7C"/>
    <w:rsid w:val="00067769"/>
    <w:rsid w:val="00073A86"/>
    <w:rsid w:val="000760A4"/>
    <w:rsid w:val="00077D2E"/>
    <w:rsid w:val="00081286"/>
    <w:rsid w:val="000820BC"/>
    <w:rsid w:val="00084B14"/>
    <w:rsid w:val="00086640"/>
    <w:rsid w:val="00086CB8"/>
    <w:rsid w:val="00087BBF"/>
    <w:rsid w:val="00090714"/>
    <w:rsid w:val="0009096E"/>
    <w:rsid w:val="00091912"/>
    <w:rsid w:val="000942DF"/>
    <w:rsid w:val="000953A6"/>
    <w:rsid w:val="00097D4C"/>
    <w:rsid w:val="00097F0A"/>
    <w:rsid w:val="000A2B31"/>
    <w:rsid w:val="000A46DC"/>
    <w:rsid w:val="000B3256"/>
    <w:rsid w:val="000B33BA"/>
    <w:rsid w:val="000B422E"/>
    <w:rsid w:val="000C04BA"/>
    <w:rsid w:val="000C168D"/>
    <w:rsid w:val="000C1B72"/>
    <w:rsid w:val="000C243B"/>
    <w:rsid w:val="000D12DC"/>
    <w:rsid w:val="000D31BE"/>
    <w:rsid w:val="000D442B"/>
    <w:rsid w:val="000D479B"/>
    <w:rsid w:val="000D595F"/>
    <w:rsid w:val="000E7B80"/>
    <w:rsid w:val="000F3799"/>
    <w:rsid w:val="000F3BCE"/>
    <w:rsid w:val="000F5590"/>
    <w:rsid w:val="000F5DDF"/>
    <w:rsid w:val="000F6FEC"/>
    <w:rsid w:val="00101716"/>
    <w:rsid w:val="001032EB"/>
    <w:rsid w:val="001062B6"/>
    <w:rsid w:val="00110112"/>
    <w:rsid w:val="00111860"/>
    <w:rsid w:val="00113224"/>
    <w:rsid w:val="00114DA6"/>
    <w:rsid w:val="00116427"/>
    <w:rsid w:val="00124597"/>
    <w:rsid w:val="0012632E"/>
    <w:rsid w:val="00130E68"/>
    <w:rsid w:val="001311AC"/>
    <w:rsid w:val="001319D9"/>
    <w:rsid w:val="00134D12"/>
    <w:rsid w:val="00134DBF"/>
    <w:rsid w:val="0013580B"/>
    <w:rsid w:val="00135F25"/>
    <w:rsid w:val="001414C8"/>
    <w:rsid w:val="001416E7"/>
    <w:rsid w:val="00141E4A"/>
    <w:rsid w:val="00142081"/>
    <w:rsid w:val="001448CA"/>
    <w:rsid w:val="00144A9D"/>
    <w:rsid w:val="00145FF2"/>
    <w:rsid w:val="00150997"/>
    <w:rsid w:val="001509E9"/>
    <w:rsid w:val="00150A6A"/>
    <w:rsid w:val="00157C29"/>
    <w:rsid w:val="00164FA6"/>
    <w:rsid w:val="001703AD"/>
    <w:rsid w:val="00170F8B"/>
    <w:rsid w:val="00172A27"/>
    <w:rsid w:val="001740F1"/>
    <w:rsid w:val="00176C79"/>
    <w:rsid w:val="0017764D"/>
    <w:rsid w:val="001808A1"/>
    <w:rsid w:val="00185B83"/>
    <w:rsid w:val="00186D32"/>
    <w:rsid w:val="00190A73"/>
    <w:rsid w:val="001918D5"/>
    <w:rsid w:val="0019290A"/>
    <w:rsid w:val="00193041"/>
    <w:rsid w:val="001941D1"/>
    <w:rsid w:val="00194647"/>
    <w:rsid w:val="00194896"/>
    <w:rsid w:val="00195D92"/>
    <w:rsid w:val="001966DA"/>
    <w:rsid w:val="001A234D"/>
    <w:rsid w:val="001A24FB"/>
    <w:rsid w:val="001A2A07"/>
    <w:rsid w:val="001A3901"/>
    <w:rsid w:val="001A602A"/>
    <w:rsid w:val="001B3718"/>
    <w:rsid w:val="001B3FB2"/>
    <w:rsid w:val="001B5DA8"/>
    <w:rsid w:val="001B7C88"/>
    <w:rsid w:val="001C0A0F"/>
    <w:rsid w:val="001C11B4"/>
    <w:rsid w:val="001C19D5"/>
    <w:rsid w:val="001C1E0C"/>
    <w:rsid w:val="001C1E3D"/>
    <w:rsid w:val="001C2BDA"/>
    <w:rsid w:val="001C3E70"/>
    <w:rsid w:val="001C41A5"/>
    <w:rsid w:val="001C57BF"/>
    <w:rsid w:val="001C7252"/>
    <w:rsid w:val="001C796C"/>
    <w:rsid w:val="001D025B"/>
    <w:rsid w:val="001D0689"/>
    <w:rsid w:val="001D2EF6"/>
    <w:rsid w:val="001D3E9F"/>
    <w:rsid w:val="001D3F17"/>
    <w:rsid w:val="001D4240"/>
    <w:rsid w:val="001D54A9"/>
    <w:rsid w:val="001E1F47"/>
    <w:rsid w:val="001E2E5D"/>
    <w:rsid w:val="001E392A"/>
    <w:rsid w:val="001E3CA3"/>
    <w:rsid w:val="001E585B"/>
    <w:rsid w:val="001E59A7"/>
    <w:rsid w:val="001E701D"/>
    <w:rsid w:val="001F17A9"/>
    <w:rsid w:val="001F5F2E"/>
    <w:rsid w:val="00211109"/>
    <w:rsid w:val="00211FAA"/>
    <w:rsid w:val="0022149A"/>
    <w:rsid w:val="00222766"/>
    <w:rsid w:val="0022317C"/>
    <w:rsid w:val="00232228"/>
    <w:rsid w:val="002342B8"/>
    <w:rsid w:val="00234302"/>
    <w:rsid w:val="00234464"/>
    <w:rsid w:val="00234D5C"/>
    <w:rsid w:val="002354E2"/>
    <w:rsid w:val="00240537"/>
    <w:rsid w:val="00240868"/>
    <w:rsid w:val="002422E7"/>
    <w:rsid w:val="00246AF0"/>
    <w:rsid w:val="00254022"/>
    <w:rsid w:val="0025436E"/>
    <w:rsid w:val="00255342"/>
    <w:rsid w:val="0025640C"/>
    <w:rsid w:val="002572B9"/>
    <w:rsid w:val="0026283D"/>
    <w:rsid w:val="0026520A"/>
    <w:rsid w:val="00265295"/>
    <w:rsid w:val="00265DB9"/>
    <w:rsid w:val="002709A4"/>
    <w:rsid w:val="00271076"/>
    <w:rsid w:val="0027228A"/>
    <w:rsid w:val="002753AA"/>
    <w:rsid w:val="00276470"/>
    <w:rsid w:val="00281D17"/>
    <w:rsid w:val="00282FA7"/>
    <w:rsid w:val="00285389"/>
    <w:rsid w:val="00285CF8"/>
    <w:rsid w:val="002867E8"/>
    <w:rsid w:val="00290F50"/>
    <w:rsid w:val="002912D7"/>
    <w:rsid w:val="002919D0"/>
    <w:rsid w:val="0029401A"/>
    <w:rsid w:val="00295DBD"/>
    <w:rsid w:val="002A1141"/>
    <w:rsid w:val="002A1229"/>
    <w:rsid w:val="002A14E3"/>
    <w:rsid w:val="002A44CE"/>
    <w:rsid w:val="002A58CB"/>
    <w:rsid w:val="002A6849"/>
    <w:rsid w:val="002A69DE"/>
    <w:rsid w:val="002B0001"/>
    <w:rsid w:val="002B0063"/>
    <w:rsid w:val="002B0F04"/>
    <w:rsid w:val="002B1E45"/>
    <w:rsid w:val="002B2601"/>
    <w:rsid w:val="002B2CE4"/>
    <w:rsid w:val="002B2FA8"/>
    <w:rsid w:val="002B4DE4"/>
    <w:rsid w:val="002B53B2"/>
    <w:rsid w:val="002B5B2C"/>
    <w:rsid w:val="002C1F8E"/>
    <w:rsid w:val="002C6DC2"/>
    <w:rsid w:val="002C72F4"/>
    <w:rsid w:val="002D158C"/>
    <w:rsid w:val="002D2BF2"/>
    <w:rsid w:val="002D44D1"/>
    <w:rsid w:val="002D480C"/>
    <w:rsid w:val="002D5103"/>
    <w:rsid w:val="002D74FA"/>
    <w:rsid w:val="002E00C5"/>
    <w:rsid w:val="002E2243"/>
    <w:rsid w:val="002E4A78"/>
    <w:rsid w:val="002E544E"/>
    <w:rsid w:val="002E5FAB"/>
    <w:rsid w:val="002E64D4"/>
    <w:rsid w:val="002F0D1F"/>
    <w:rsid w:val="002F2399"/>
    <w:rsid w:val="002F2C68"/>
    <w:rsid w:val="002F55DB"/>
    <w:rsid w:val="002F671A"/>
    <w:rsid w:val="002F7C91"/>
    <w:rsid w:val="002F7D16"/>
    <w:rsid w:val="003008E9"/>
    <w:rsid w:val="00300E0B"/>
    <w:rsid w:val="00303967"/>
    <w:rsid w:val="00310942"/>
    <w:rsid w:val="0031211C"/>
    <w:rsid w:val="0031266E"/>
    <w:rsid w:val="003142C2"/>
    <w:rsid w:val="0032173C"/>
    <w:rsid w:val="00323FBB"/>
    <w:rsid w:val="003240E3"/>
    <w:rsid w:val="00325637"/>
    <w:rsid w:val="00326238"/>
    <w:rsid w:val="003327CC"/>
    <w:rsid w:val="0033703C"/>
    <w:rsid w:val="003413E6"/>
    <w:rsid w:val="00341CD3"/>
    <w:rsid w:val="003428C5"/>
    <w:rsid w:val="0034583A"/>
    <w:rsid w:val="0034795C"/>
    <w:rsid w:val="00350BB6"/>
    <w:rsid w:val="00352960"/>
    <w:rsid w:val="00353120"/>
    <w:rsid w:val="00353BD2"/>
    <w:rsid w:val="00354B67"/>
    <w:rsid w:val="00360906"/>
    <w:rsid w:val="00360F6A"/>
    <w:rsid w:val="0036217F"/>
    <w:rsid w:val="003628BD"/>
    <w:rsid w:val="00362998"/>
    <w:rsid w:val="00364686"/>
    <w:rsid w:val="003660A0"/>
    <w:rsid w:val="0036747D"/>
    <w:rsid w:val="00371EE1"/>
    <w:rsid w:val="003735C5"/>
    <w:rsid w:val="00373EF5"/>
    <w:rsid w:val="00374B8A"/>
    <w:rsid w:val="00381421"/>
    <w:rsid w:val="00381A21"/>
    <w:rsid w:val="00382889"/>
    <w:rsid w:val="00383E7B"/>
    <w:rsid w:val="00384B62"/>
    <w:rsid w:val="0038626C"/>
    <w:rsid w:val="0038635E"/>
    <w:rsid w:val="00391888"/>
    <w:rsid w:val="00392213"/>
    <w:rsid w:val="00392B73"/>
    <w:rsid w:val="00393AEF"/>
    <w:rsid w:val="00394A4C"/>
    <w:rsid w:val="00397498"/>
    <w:rsid w:val="00397B40"/>
    <w:rsid w:val="003A03B7"/>
    <w:rsid w:val="003A0448"/>
    <w:rsid w:val="003A0A40"/>
    <w:rsid w:val="003A0C81"/>
    <w:rsid w:val="003A0DEB"/>
    <w:rsid w:val="003A180F"/>
    <w:rsid w:val="003A2798"/>
    <w:rsid w:val="003A71C0"/>
    <w:rsid w:val="003B3A41"/>
    <w:rsid w:val="003B7EAE"/>
    <w:rsid w:val="003C0F35"/>
    <w:rsid w:val="003C4B6A"/>
    <w:rsid w:val="003C622F"/>
    <w:rsid w:val="003C6DEE"/>
    <w:rsid w:val="003C7C8B"/>
    <w:rsid w:val="003D064C"/>
    <w:rsid w:val="003D0AF7"/>
    <w:rsid w:val="003D2B46"/>
    <w:rsid w:val="003D49E5"/>
    <w:rsid w:val="003D51CC"/>
    <w:rsid w:val="003D6E4A"/>
    <w:rsid w:val="003D6EC8"/>
    <w:rsid w:val="003D768F"/>
    <w:rsid w:val="003E2091"/>
    <w:rsid w:val="003E225B"/>
    <w:rsid w:val="003E35CE"/>
    <w:rsid w:val="003E4520"/>
    <w:rsid w:val="003E473C"/>
    <w:rsid w:val="003E63C3"/>
    <w:rsid w:val="003E7172"/>
    <w:rsid w:val="003F16CF"/>
    <w:rsid w:val="003F1CE0"/>
    <w:rsid w:val="003F55C2"/>
    <w:rsid w:val="00400E36"/>
    <w:rsid w:val="004025C1"/>
    <w:rsid w:val="00403667"/>
    <w:rsid w:val="004072C6"/>
    <w:rsid w:val="00412E47"/>
    <w:rsid w:val="004136B3"/>
    <w:rsid w:val="004204D0"/>
    <w:rsid w:val="00422348"/>
    <w:rsid w:val="004223E6"/>
    <w:rsid w:val="004226BA"/>
    <w:rsid w:val="00422C7A"/>
    <w:rsid w:val="0042541D"/>
    <w:rsid w:val="00425A66"/>
    <w:rsid w:val="0042676D"/>
    <w:rsid w:val="0043084A"/>
    <w:rsid w:val="004325E6"/>
    <w:rsid w:val="0043306E"/>
    <w:rsid w:val="004364BF"/>
    <w:rsid w:val="004415B3"/>
    <w:rsid w:val="00441C47"/>
    <w:rsid w:val="00442647"/>
    <w:rsid w:val="004434FC"/>
    <w:rsid w:val="00443940"/>
    <w:rsid w:val="0044646D"/>
    <w:rsid w:val="00450CF3"/>
    <w:rsid w:val="004524DD"/>
    <w:rsid w:val="00457775"/>
    <w:rsid w:val="00457BF2"/>
    <w:rsid w:val="00460BEA"/>
    <w:rsid w:val="00462B5B"/>
    <w:rsid w:val="00462D26"/>
    <w:rsid w:val="00463213"/>
    <w:rsid w:val="00466C1F"/>
    <w:rsid w:val="00471028"/>
    <w:rsid w:val="00472A55"/>
    <w:rsid w:val="00482641"/>
    <w:rsid w:val="00482CE6"/>
    <w:rsid w:val="00484041"/>
    <w:rsid w:val="004858B2"/>
    <w:rsid w:val="0049247B"/>
    <w:rsid w:val="0049270E"/>
    <w:rsid w:val="004A1B04"/>
    <w:rsid w:val="004A3AE8"/>
    <w:rsid w:val="004A3F4A"/>
    <w:rsid w:val="004A4C84"/>
    <w:rsid w:val="004A4F4F"/>
    <w:rsid w:val="004A7E8F"/>
    <w:rsid w:val="004B0F2E"/>
    <w:rsid w:val="004B3880"/>
    <w:rsid w:val="004B514B"/>
    <w:rsid w:val="004B579F"/>
    <w:rsid w:val="004B67A6"/>
    <w:rsid w:val="004B6F0F"/>
    <w:rsid w:val="004B714F"/>
    <w:rsid w:val="004C147D"/>
    <w:rsid w:val="004C2961"/>
    <w:rsid w:val="004C4080"/>
    <w:rsid w:val="004C4147"/>
    <w:rsid w:val="004C565F"/>
    <w:rsid w:val="004C663F"/>
    <w:rsid w:val="004C73FA"/>
    <w:rsid w:val="004C7935"/>
    <w:rsid w:val="004D247E"/>
    <w:rsid w:val="004D2E68"/>
    <w:rsid w:val="004D3923"/>
    <w:rsid w:val="004D5ACE"/>
    <w:rsid w:val="004D678A"/>
    <w:rsid w:val="004D7FC4"/>
    <w:rsid w:val="004E1281"/>
    <w:rsid w:val="004E2D1D"/>
    <w:rsid w:val="004E3555"/>
    <w:rsid w:val="004E3863"/>
    <w:rsid w:val="004E3D19"/>
    <w:rsid w:val="004E4B4E"/>
    <w:rsid w:val="004E7D94"/>
    <w:rsid w:val="004F07DC"/>
    <w:rsid w:val="004F0A90"/>
    <w:rsid w:val="004F1AF6"/>
    <w:rsid w:val="004F23A7"/>
    <w:rsid w:val="004F2570"/>
    <w:rsid w:val="004F479A"/>
    <w:rsid w:val="004F5D95"/>
    <w:rsid w:val="004F5F3A"/>
    <w:rsid w:val="004F6944"/>
    <w:rsid w:val="004F6C92"/>
    <w:rsid w:val="004F7F0B"/>
    <w:rsid w:val="00504DE1"/>
    <w:rsid w:val="00506E6F"/>
    <w:rsid w:val="005131FC"/>
    <w:rsid w:val="00513BE8"/>
    <w:rsid w:val="0051471F"/>
    <w:rsid w:val="0052232E"/>
    <w:rsid w:val="005224EB"/>
    <w:rsid w:val="005263B5"/>
    <w:rsid w:val="00526486"/>
    <w:rsid w:val="00526A47"/>
    <w:rsid w:val="00530241"/>
    <w:rsid w:val="00532DC6"/>
    <w:rsid w:val="00533A23"/>
    <w:rsid w:val="00535700"/>
    <w:rsid w:val="00535D0E"/>
    <w:rsid w:val="00541105"/>
    <w:rsid w:val="00542B1F"/>
    <w:rsid w:val="00546FDE"/>
    <w:rsid w:val="00547668"/>
    <w:rsid w:val="00550B47"/>
    <w:rsid w:val="00551283"/>
    <w:rsid w:val="00551B80"/>
    <w:rsid w:val="005527CE"/>
    <w:rsid w:val="0055547F"/>
    <w:rsid w:val="005577C3"/>
    <w:rsid w:val="00561409"/>
    <w:rsid w:val="0056444A"/>
    <w:rsid w:val="005654D6"/>
    <w:rsid w:val="005655FD"/>
    <w:rsid w:val="005701A1"/>
    <w:rsid w:val="0057360E"/>
    <w:rsid w:val="0057397C"/>
    <w:rsid w:val="005750A8"/>
    <w:rsid w:val="005802C3"/>
    <w:rsid w:val="00580881"/>
    <w:rsid w:val="005828EF"/>
    <w:rsid w:val="00583602"/>
    <w:rsid w:val="00584629"/>
    <w:rsid w:val="00584A3E"/>
    <w:rsid w:val="00584E8B"/>
    <w:rsid w:val="0058695B"/>
    <w:rsid w:val="00587576"/>
    <w:rsid w:val="00587E84"/>
    <w:rsid w:val="00590FC1"/>
    <w:rsid w:val="005912AD"/>
    <w:rsid w:val="00592FF3"/>
    <w:rsid w:val="00594938"/>
    <w:rsid w:val="005957DC"/>
    <w:rsid w:val="005958C4"/>
    <w:rsid w:val="00596FCC"/>
    <w:rsid w:val="005A0046"/>
    <w:rsid w:val="005A4732"/>
    <w:rsid w:val="005A6503"/>
    <w:rsid w:val="005A6A87"/>
    <w:rsid w:val="005A7374"/>
    <w:rsid w:val="005B16BE"/>
    <w:rsid w:val="005B1F10"/>
    <w:rsid w:val="005B4F9A"/>
    <w:rsid w:val="005C0B7E"/>
    <w:rsid w:val="005C3FBE"/>
    <w:rsid w:val="005C4A88"/>
    <w:rsid w:val="005C4E34"/>
    <w:rsid w:val="005C5910"/>
    <w:rsid w:val="005C5F6F"/>
    <w:rsid w:val="005D0E48"/>
    <w:rsid w:val="005D1841"/>
    <w:rsid w:val="005D3098"/>
    <w:rsid w:val="005D3D3A"/>
    <w:rsid w:val="005D6CC8"/>
    <w:rsid w:val="005D73ED"/>
    <w:rsid w:val="005D7EA6"/>
    <w:rsid w:val="005E1740"/>
    <w:rsid w:val="005E2214"/>
    <w:rsid w:val="005E4205"/>
    <w:rsid w:val="005E6EA9"/>
    <w:rsid w:val="005F1C72"/>
    <w:rsid w:val="005F222A"/>
    <w:rsid w:val="005F4FF4"/>
    <w:rsid w:val="005F51E3"/>
    <w:rsid w:val="005F57B1"/>
    <w:rsid w:val="005F5896"/>
    <w:rsid w:val="005F63C8"/>
    <w:rsid w:val="005F7D2C"/>
    <w:rsid w:val="006000A8"/>
    <w:rsid w:val="00601A2F"/>
    <w:rsid w:val="00602CE1"/>
    <w:rsid w:val="00602CEF"/>
    <w:rsid w:val="00604D4E"/>
    <w:rsid w:val="00605515"/>
    <w:rsid w:val="00605721"/>
    <w:rsid w:val="00605D51"/>
    <w:rsid w:val="00606DC2"/>
    <w:rsid w:val="00612944"/>
    <w:rsid w:val="00612F73"/>
    <w:rsid w:val="0061412B"/>
    <w:rsid w:val="006155D6"/>
    <w:rsid w:val="006176B5"/>
    <w:rsid w:val="00621DDD"/>
    <w:rsid w:val="00624633"/>
    <w:rsid w:val="00627F19"/>
    <w:rsid w:val="00633114"/>
    <w:rsid w:val="006338C8"/>
    <w:rsid w:val="00634300"/>
    <w:rsid w:val="00634E20"/>
    <w:rsid w:val="00635F34"/>
    <w:rsid w:val="0063671B"/>
    <w:rsid w:val="006407A0"/>
    <w:rsid w:val="00641359"/>
    <w:rsid w:val="00641626"/>
    <w:rsid w:val="0064310A"/>
    <w:rsid w:val="0064316A"/>
    <w:rsid w:val="0064317A"/>
    <w:rsid w:val="0064410E"/>
    <w:rsid w:val="00644EE6"/>
    <w:rsid w:val="006456A8"/>
    <w:rsid w:val="006463E9"/>
    <w:rsid w:val="00646A98"/>
    <w:rsid w:val="00647B0D"/>
    <w:rsid w:val="00654051"/>
    <w:rsid w:val="0066018C"/>
    <w:rsid w:val="00660B5F"/>
    <w:rsid w:val="00665EE4"/>
    <w:rsid w:val="00666037"/>
    <w:rsid w:val="006679A5"/>
    <w:rsid w:val="0067178E"/>
    <w:rsid w:val="006728C3"/>
    <w:rsid w:val="00674472"/>
    <w:rsid w:val="006745FC"/>
    <w:rsid w:val="006766D7"/>
    <w:rsid w:val="00681FA1"/>
    <w:rsid w:val="006846E5"/>
    <w:rsid w:val="00684909"/>
    <w:rsid w:val="00685A1F"/>
    <w:rsid w:val="00686D4F"/>
    <w:rsid w:val="006876B0"/>
    <w:rsid w:val="006925D3"/>
    <w:rsid w:val="00693829"/>
    <w:rsid w:val="006953AE"/>
    <w:rsid w:val="00696E5D"/>
    <w:rsid w:val="00696F65"/>
    <w:rsid w:val="0069744A"/>
    <w:rsid w:val="0069783F"/>
    <w:rsid w:val="006A010E"/>
    <w:rsid w:val="006A0890"/>
    <w:rsid w:val="006A0AD7"/>
    <w:rsid w:val="006A2E5F"/>
    <w:rsid w:val="006A71F5"/>
    <w:rsid w:val="006A79C8"/>
    <w:rsid w:val="006A7A03"/>
    <w:rsid w:val="006B0E68"/>
    <w:rsid w:val="006B2540"/>
    <w:rsid w:val="006B6856"/>
    <w:rsid w:val="006B6E92"/>
    <w:rsid w:val="006C1DBA"/>
    <w:rsid w:val="006C1F64"/>
    <w:rsid w:val="006C279D"/>
    <w:rsid w:val="006C3C7B"/>
    <w:rsid w:val="006C5758"/>
    <w:rsid w:val="006C6277"/>
    <w:rsid w:val="006D1A0C"/>
    <w:rsid w:val="006D22A1"/>
    <w:rsid w:val="006D2F8B"/>
    <w:rsid w:val="006D5589"/>
    <w:rsid w:val="006D7A5A"/>
    <w:rsid w:val="006E1922"/>
    <w:rsid w:val="006E1A63"/>
    <w:rsid w:val="006E2FD4"/>
    <w:rsid w:val="006E30AA"/>
    <w:rsid w:val="006E37CA"/>
    <w:rsid w:val="006E3869"/>
    <w:rsid w:val="006E4093"/>
    <w:rsid w:val="006E4499"/>
    <w:rsid w:val="006E5A03"/>
    <w:rsid w:val="006E684E"/>
    <w:rsid w:val="006F48B0"/>
    <w:rsid w:val="006F4B03"/>
    <w:rsid w:val="006F7CAD"/>
    <w:rsid w:val="0070153C"/>
    <w:rsid w:val="007054DD"/>
    <w:rsid w:val="007055E1"/>
    <w:rsid w:val="0071189E"/>
    <w:rsid w:val="007123DD"/>
    <w:rsid w:val="007137AD"/>
    <w:rsid w:val="00716292"/>
    <w:rsid w:val="0072218F"/>
    <w:rsid w:val="00722205"/>
    <w:rsid w:val="00724CD2"/>
    <w:rsid w:val="007268FE"/>
    <w:rsid w:val="0073052D"/>
    <w:rsid w:val="0073080F"/>
    <w:rsid w:val="00731551"/>
    <w:rsid w:val="007320FE"/>
    <w:rsid w:val="00732E5F"/>
    <w:rsid w:val="007330F9"/>
    <w:rsid w:val="00734E4F"/>
    <w:rsid w:val="00734F6B"/>
    <w:rsid w:val="007372B3"/>
    <w:rsid w:val="00740786"/>
    <w:rsid w:val="0074268F"/>
    <w:rsid w:val="007435C7"/>
    <w:rsid w:val="007464F0"/>
    <w:rsid w:val="00746DE3"/>
    <w:rsid w:val="00747869"/>
    <w:rsid w:val="00753403"/>
    <w:rsid w:val="0075411F"/>
    <w:rsid w:val="007543B1"/>
    <w:rsid w:val="00754CE7"/>
    <w:rsid w:val="00755C2E"/>
    <w:rsid w:val="00760EDE"/>
    <w:rsid w:val="007615B4"/>
    <w:rsid w:val="007623EF"/>
    <w:rsid w:val="0076400F"/>
    <w:rsid w:val="00765402"/>
    <w:rsid w:val="0076624D"/>
    <w:rsid w:val="007663B0"/>
    <w:rsid w:val="0076744B"/>
    <w:rsid w:val="007713C8"/>
    <w:rsid w:val="0077267C"/>
    <w:rsid w:val="0077303A"/>
    <w:rsid w:val="00774306"/>
    <w:rsid w:val="00775F66"/>
    <w:rsid w:val="00777269"/>
    <w:rsid w:val="00781125"/>
    <w:rsid w:val="007817E0"/>
    <w:rsid w:val="00784205"/>
    <w:rsid w:val="00785AF9"/>
    <w:rsid w:val="00790414"/>
    <w:rsid w:val="00790428"/>
    <w:rsid w:val="00793098"/>
    <w:rsid w:val="007930A5"/>
    <w:rsid w:val="0079489F"/>
    <w:rsid w:val="00795153"/>
    <w:rsid w:val="00795B2D"/>
    <w:rsid w:val="007A56B2"/>
    <w:rsid w:val="007A7820"/>
    <w:rsid w:val="007B3148"/>
    <w:rsid w:val="007B3C60"/>
    <w:rsid w:val="007B43E7"/>
    <w:rsid w:val="007B4E6B"/>
    <w:rsid w:val="007B60A4"/>
    <w:rsid w:val="007B6606"/>
    <w:rsid w:val="007B68A2"/>
    <w:rsid w:val="007B70EE"/>
    <w:rsid w:val="007C0110"/>
    <w:rsid w:val="007C3B44"/>
    <w:rsid w:val="007C4EC2"/>
    <w:rsid w:val="007C668A"/>
    <w:rsid w:val="007C765D"/>
    <w:rsid w:val="007C78EA"/>
    <w:rsid w:val="007D14CF"/>
    <w:rsid w:val="007D74B8"/>
    <w:rsid w:val="007E1CB7"/>
    <w:rsid w:val="007E2C0B"/>
    <w:rsid w:val="007E44F6"/>
    <w:rsid w:val="007E4702"/>
    <w:rsid w:val="007E494E"/>
    <w:rsid w:val="007E4A22"/>
    <w:rsid w:val="007F1954"/>
    <w:rsid w:val="007F23EE"/>
    <w:rsid w:val="007F518A"/>
    <w:rsid w:val="008021B8"/>
    <w:rsid w:val="00802634"/>
    <w:rsid w:val="0080265E"/>
    <w:rsid w:val="00804191"/>
    <w:rsid w:val="00805254"/>
    <w:rsid w:val="0080674C"/>
    <w:rsid w:val="008075C1"/>
    <w:rsid w:val="008107CB"/>
    <w:rsid w:val="00811275"/>
    <w:rsid w:val="008119B6"/>
    <w:rsid w:val="008121D2"/>
    <w:rsid w:val="00815AA5"/>
    <w:rsid w:val="008160EB"/>
    <w:rsid w:val="00816C33"/>
    <w:rsid w:val="00823E81"/>
    <w:rsid w:val="008247E4"/>
    <w:rsid w:val="008248B4"/>
    <w:rsid w:val="00824FDD"/>
    <w:rsid w:val="0082642A"/>
    <w:rsid w:val="00827C08"/>
    <w:rsid w:val="00827E62"/>
    <w:rsid w:val="0083022F"/>
    <w:rsid w:val="00831135"/>
    <w:rsid w:val="0083572A"/>
    <w:rsid w:val="0083643D"/>
    <w:rsid w:val="00841318"/>
    <w:rsid w:val="0084385E"/>
    <w:rsid w:val="00845D9B"/>
    <w:rsid w:val="00851B34"/>
    <w:rsid w:val="00851E3F"/>
    <w:rsid w:val="0085445B"/>
    <w:rsid w:val="00855A72"/>
    <w:rsid w:val="00855D2F"/>
    <w:rsid w:val="00855FFA"/>
    <w:rsid w:val="00857BEE"/>
    <w:rsid w:val="00862837"/>
    <w:rsid w:val="00870A7C"/>
    <w:rsid w:val="00871614"/>
    <w:rsid w:val="00873FD7"/>
    <w:rsid w:val="00875D54"/>
    <w:rsid w:val="00880978"/>
    <w:rsid w:val="008813DC"/>
    <w:rsid w:val="008850C7"/>
    <w:rsid w:val="00886141"/>
    <w:rsid w:val="0088678E"/>
    <w:rsid w:val="0088755A"/>
    <w:rsid w:val="0088781C"/>
    <w:rsid w:val="00890C65"/>
    <w:rsid w:val="0089148C"/>
    <w:rsid w:val="0089208E"/>
    <w:rsid w:val="008921C0"/>
    <w:rsid w:val="00893B2C"/>
    <w:rsid w:val="00894B4B"/>
    <w:rsid w:val="00897EDC"/>
    <w:rsid w:val="008A1461"/>
    <w:rsid w:val="008A27BA"/>
    <w:rsid w:val="008A3BCD"/>
    <w:rsid w:val="008A57F3"/>
    <w:rsid w:val="008A5FF9"/>
    <w:rsid w:val="008A6474"/>
    <w:rsid w:val="008B1265"/>
    <w:rsid w:val="008B15FC"/>
    <w:rsid w:val="008B2752"/>
    <w:rsid w:val="008B2904"/>
    <w:rsid w:val="008B2CF4"/>
    <w:rsid w:val="008B3834"/>
    <w:rsid w:val="008B6746"/>
    <w:rsid w:val="008C1545"/>
    <w:rsid w:val="008C2949"/>
    <w:rsid w:val="008C4873"/>
    <w:rsid w:val="008C59CB"/>
    <w:rsid w:val="008C65C4"/>
    <w:rsid w:val="008D55F7"/>
    <w:rsid w:val="008D778A"/>
    <w:rsid w:val="008E3905"/>
    <w:rsid w:val="008E467F"/>
    <w:rsid w:val="008F115A"/>
    <w:rsid w:val="008F3D6D"/>
    <w:rsid w:val="008F3DBB"/>
    <w:rsid w:val="008F3F66"/>
    <w:rsid w:val="008F4AC4"/>
    <w:rsid w:val="008F582A"/>
    <w:rsid w:val="008F59BD"/>
    <w:rsid w:val="008F6D3D"/>
    <w:rsid w:val="0090065E"/>
    <w:rsid w:val="0090203B"/>
    <w:rsid w:val="00905ED5"/>
    <w:rsid w:val="009060D2"/>
    <w:rsid w:val="0090772A"/>
    <w:rsid w:val="00911720"/>
    <w:rsid w:val="00911B50"/>
    <w:rsid w:val="00912AB0"/>
    <w:rsid w:val="00913417"/>
    <w:rsid w:val="00914425"/>
    <w:rsid w:val="00915D63"/>
    <w:rsid w:val="009168AC"/>
    <w:rsid w:val="00920762"/>
    <w:rsid w:val="00920D22"/>
    <w:rsid w:val="00921ABC"/>
    <w:rsid w:val="00923EAD"/>
    <w:rsid w:val="009249E7"/>
    <w:rsid w:val="009255EA"/>
    <w:rsid w:val="009255EE"/>
    <w:rsid w:val="009263CD"/>
    <w:rsid w:val="00930BEB"/>
    <w:rsid w:val="009310F9"/>
    <w:rsid w:val="009332F5"/>
    <w:rsid w:val="00934C7E"/>
    <w:rsid w:val="0093696D"/>
    <w:rsid w:val="009375C7"/>
    <w:rsid w:val="00940180"/>
    <w:rsid w:val="00941B98"/>
    <w:rsid w:val="0094336F"/>
    <w:rsid w:val="00944CAE"/>
    <w:rsid w:val="00945832"/>
    <w:rsid w:val="00946514"/>
    <w:rsid w:val="00946E74"/>
    <w:rsid w:val="00950F70"/>
    <w:rsid w:val="00952971"/>
    <w:rsid w:val="0095420B"/>
    <w:rsid w:val="0095536E"/>
    <w:rsid w:val="00955B90"/>
    <w:rsid w:val="00957453"/>
    <w:rsid w:val="009606C9"/>
    <w:rsid w:val="009630D7"/>
    <w:rsid w:val="00963692"/>
    <w:rsid w:val="0096437D"/>
    <w:rsid w:val="0096453C"/>
    <w:rsid w:val="00966AF5"/>
    <w:rsid w:val="009672BA"/>
    <w:rsid w:val="009679A7"/>
    <w:rsid w:val="00970375"/>
    <w:rsid w:val="00972ADE"/>
    <w:rsid w:val="0097354F"/>
    <w:rsid w:val="00974334"/>
    <w:rsid w:val="00974562"/>
    <w:rsid w:val="009770A9"/>
    <w:rsid w:val="00977F3E"/>
    <w:rsid w:val="00980833"/>
    <w:rsid w:val="009808ED"/>
    <w:rsid w:val="00981D1A"/>
    <w:rsid w:val="009846C0"/>
    <w:rsid w:val="009857C3"/>
    <w:rsid w:val="00986BF6"/>
    <w:rsid w:val="009901AE"/>
    <w:rsid w:val="00990842"/>
    <w:rsid w:val="0099144F"/>
    <w:rsid w:val="00993F63"/>
    <w:rsid w:val="00994576"/>
    <w:rsid w:val="009951DA"/>
    <w:rsid w:val="00995377"/>
    <w:rsid w:val="00995460"/>
    <w:rsid w:val="009964B9"/>
    <w:rsid w:val="00997226"/>
    <w:rsid w:val="009A0E28"/>
    <w:rsid w:val="009A1A83"/>
    <w:rsid w:val="009A27B6"/>
    <w:rsid w:val="009A2B77"/>
    <w:rsid w:val="009A2EEE"/>
    <w:rsid w:val="009A4D4D"/>
    <w:rsid w:val="009A4F41"/>
    <w:rsid w:val="009B05A6"/>
    <w:rsid w:val="009B1999"/>
    <w:rsid w:val="009B2343"/>
    <w:rsid w:val="009B40A2"/>
    <w:rsid w:val="009C38BE"/>
    <w:rsid w:val="009C5F83"/>
    <w:rsid w:val="009C6E33"/>
    <w:rsid w:val="009C6E70"/>
    <w:rsid w:val="009C7DD2"/>
    <w:rsid w:val="009D0061"/>
    <w:rsid w:val="009D0E20"/>
    <w:rsid w:val="009D326B"/>
    <w:rsid w:val="009D3EA7"/>
    <w:rsid w:val="009D5466"/>
    <w:rsid w:val="009D5760"/>
    <w:rsid w:val="009E0E7F"/>
    <w:rsid w:val="009E2EF9"/>
    <w:rsid w:val="009E3164"/>
    <w:rsid w:val="009E3AD7"/>
    <w:rsid w:val="009E420B"/>
    <w:rsid w:val="009E71CE"/>
    <w:rsid w:val="009F031F"/>
    <w:rsid w:val="009F0404"/>
    <w:rsid w:val="009F07CB"/>
    <w:rsid w:val="009F4D76"/>
    <w:rsid w:val="009F55E5"/>
    <w:rsid w:val="009F580C"/>
    <w:rsid w:val="009F60C1"/>
    <w:rsid w:val="009F7EBC"/>
    <w:rsid w:val="00A02F8B"/>
    <w:rsid w:val="00A033BF"/>
    <w:rsid w:val="00A03DD7"/>
    <w:rsid w:val="00A043C2"/>
    <w:rsid w:val="00A04514"/>
    <w:rsid w:val="00A05D8A"/>
    <w:rsid w:val="00A07286"/>
    <w:rsid w:val="00A07613"/>
    <w:rsid w:val="00A10FE7"/>
    <w:rsid w:val="00A11767"/>
    <w:rsid w:val="00A12385"/>
    <w:rsid w:val="00A14028"/>
    <w:rsid w:val="00A1533B"/>
    <w:rsid w:val="00A15EAF"/>
    <w:rsid w:val="00A2099D"/>
    <w:rsid w:val="00A234D1"/>
    <w:rsid w:val="00A25254"/>
    <w:rsid w:val="00A31EAD"/>
    <w:rsid w:val="00A33761"/>
    <w:rsid w:val="00A35E64"/>
    <w:rsid w:val="00A4189C"/>
    <w:rsid w:val="00A41D6F"/>
    <w:rsid w:val="00A41DAB"/>
    <w:rsid w:val="00A4262B"/>
    <w:rsid w:val="00A449A9"/>
    <w:rsid w:val="00A4634F"/>
    <w:rsid w:val="00A464CA"/>
    <w:rsid w:val="00A4699F"/>
    <w:rsid w:val="00A479FD"/>
    <w:rsid w:val="00A50059"/>
    <w:rsid w:val="00A5139F"/>
    <w:rsid w:val="00A52D1C"/>
    <w:rsid w:val="00A52DC3"/>
    <w:rsid w:val="00A53595"/>
    <w:rsid w:val="00A53B4C"/>
    <w:rsid w:val="00A54721"/>
    <w:rsid w:val="00A57381"/>
    <w:rsid w:val="00A57438"/>
    <w:rsid w:val="00A60924"/>
    <w:rsid w:val="00A6192E"/>
    <w:rsid w:val="00A61C36"/>
    <w:rsid w:val="00A661BC"/>
    <w:rsid w:val="00A66F4D"/>
    <w:rsid w:val="00A67B1F"/>
    <w:rsid w:val="00A70826"/>
    <w:rsid w:val="00A7188E"/>
    <w:rsid w:val="00A75361"/>
    <w:rsid w:val="00A81295"/>
    <w:rsid w:val="00A85602"/>
    <w:rsid w:val="00A86765"/>
    <w:rsid w:val="00A870B5"/>
    <w:rsid w:val="00A87DB6"/>
    <w:rsid w:val="00A92B75"/>
    <w:rsid w:val="00AA3E86"/>
    <w:rsid w:val="00AA4800"/>
    <w:rsid w:val="00AA4BD8"/>
    <w:rsid w:val="00AA573E"/>
    <w:rsid w:val="00AA5AC3"/>
    <w:rsid w:val="00AB004B"/>
    <w:rsid w:val="00AB1821"/>
    <w:rsid w:val="00AB330C"/>
    <w:rsid w:val="00AB4D0B"/>
    <w:rsid w:val="00AB5200"/>
    <w:rsid w:val="00AB54E4"/>
    <w:rsid w:val="00AB563D"/>
    <w:rsid w:val="00AB7C92"/>
    <w:rsid w:val="00AC00E4"/>
    <w:rsid w:val="00AC1A9B"/>
    <w:rsid w:val="00AC34E9"/>
    <w:rsid w:val="00AC4329"/>
    <w:rsid w:val="00AC4852"/>
    <w:rsid w:val="00AC582F"/>
    <w:rsid w:val="00AC5F37"/>
    <w:rsid w:val="00AC7B5A"/>
    <w:rsid w:val="00AD09E9"/>
    <w:rsid w:val="00AD1155"/>
    <w:rsid w:val="00AD3C96"/>
    <w:rsid w:val="00AD4BCD"/>
    <w:rsid w:val="00AD5E91"/>
    <w:rsid w:val="00AD6C25"/>
    <w:rsid w:val="00AD7E2F"/>
    <w:rsid w:val="00AE0D8B"/>
    <w:rsid w:val="00AE6E48"/>
    <w:rsid w:val="00AE7C2C"/>
    <w:rsid w:val="00AE7F7E"/>
    <w:rsid w:val="00AF414D"/>
    <w:rsid w:val="00AF72A6"/>
    <w:rsid w:val="00AF7BB8"/>
    <w:rsid w:val="00B01416"/>
    <w:rsid w:val="00B04AF2"/>
    <w:rsid w:val="00B06901"/>
    <w:rsid w:val="00B06DC1"/>
    <w:rsid w:val="00B108A7"/>
    <w:rsid w:val="00B115BC"/>
    <w:rsid w:val="00B1224C"/>
    <w:rsid w:val="00B138A4"/>
    <w:rsid w:val="00B139AB"/>
    <w:rsid w:val="00B20F10"/>
    <w:rsid w:val="00B22DF3"/>
    <w:rsid w:val="00B23C0D"/>
    <w:rsid w:val="00B24C49"/>
    <w:rsid w:val="00B25BAB"/>
    <w:rsid w:val="00B25DB5"/>
    <w:rsid w:val="00B261C8"/>
    <w:rsid w:val="00B263B4"/>
    <w:rsid w:val="00B3165B"/>
    <w:rsid w:val="00B31F5F"/>
    <w:rsid w:val="00B3488D"/>
    <w:rsid w:val="00B34D40"/>
    <w:rsid w:val="00B36726"/>
    <w:rsid w:val="00B37BCF"/>
    <w:rsid w:val="00B4064C"/>
    <w:rsid w:val="00B411EC"/>
    <w:rsid w:val="00B422AE"/>
    <w:rsid w:val="00B449FB"/>
    <w:rsid w:val="00B45474"/>
    <w:rsid w:val="00B45B53"/>
    <w:rsid w:val="00B47079"/>
    <w:rsid w:val="00B54CDB"/>
    <w:rsid w:val="00B6003F"/>
    <w:rsid w:val="00B602C6"/>
    <w:rsid w:val="00B606DE"/>
    <w:rsid w:val="00B61B6B"/>
    <w:rsid w:val="00B62089"/>
    <w:rsid w:val="00B62B44"/>
    <w:rsid w:val="00B6315C"/>
    <w:rsid w:val="00B63486"/>
    <w:rsid w:val="00B63966"/>
    <w:rsid w:val="00B63B53"/>
    <w:rsid w:val="00B6646A"/>
    <w:rsid w:val="00B6681D"/>
    <w:rsid w:val="00B66D83"/>
    <w:rsid w:val="00B73888"/>
    <w:rsid w:val="00B7480C"/>
    <w:rsid w:val="00B7505F"/>
    <w:rsid w:val="00B752C9"/>
    <w:rsid w:val="00B76EF4"/>
    <w:rsid w:val="00B80D0A"/>
    <w:rsid w:val="00B811D9"/>
    <w:rsid w:val="00B815C5"/>
    <w:rsid w:val="00B8208A"/>
    <w:rsid w:val="00B82234"/>
    <w:rsid w:val="00B825DE"/>
    <w:rsid w:val="00B830A9"/>
    <w:rsid w:val="00B830C2"/>
    <w:rsid w:val="00B832E3"/>
    <w:rsid w:val="00B836A1"/>
    <w:rsid w:val="00B836EE"/>
    <w:rsid w:val="00B853CF"/>
    <w:rsid w:val="00B9097D"/>
    <w:rsid w:val="00B91516"/>
    <w:rsid w:val="00B93595"/>
    <w:rsid w:val="00B969B6"/>
    <w:rsid w:val="00BA0FA5"/>
    <w:rsid w:val="00BA1179"/>
    <w:rsid w:val="00BA22DE"/>
    <w:rsid w:val="00BA4895"/>
    <w:rsid w:val="00BA4AAB"/>
    <w:rsid w:val="00BA7119"/>
    <w:rsid w:val="00BA71B8"/>
    <w:rsid w:val="00BB0760"/>
    <w:rsid w:val="00BB1A42"/>
    <w:rsid w:val="00BB1B56"/>
    <w:rsid w:val="00BB3765"/>
    <w:rsid w:val="00BB3BB5"/>
    <w:rsid w:val="00BB491B"/>
    <w:rsid w:val="00BB4F6C"/>
    <w:rsid w:val="00BB54BB"/>
    <w:rsid w:val="00BB6800"/>
    <w:rsid w:val="00BB71E1"/>
    <w:rsid w:val="00BB7569"/>
    <w:rsid w:val="00BC286A"/>
    <w:rsid w:val="00BC3EE4"/>
    <w:rsid w:val="00BC4ED2"/>
    <w:rsid w:val="00BC51A9"/>
    <w:rsid w:val="00BC7870"/>
    <w:rsid w:val="00BD3561"/>
    <w:rsid w:val="00BD7E7B"/>
    <w:rsid w:val="00BE000A"/>
    <w:rsid w:val="00BE1852"/>
    <w:rsid w:val="00BE230C"/>
    <w:rsid w:val="00BE2381"/>
    <w:rsid w:val="00BE28DF"/>
    <w:rsid w:val="00BE2915"/>
    <w:rsid w:val="00BE295D"/>
    <w:rsid w:val="00BE3083"/>
    <w:rsid w:val="00BF5128"/>
    <w:rsid w:val="00BF5FCB"/>
    <w:rsid w:val="00C00512"/>
    <w:rsid w:val="00C0068E"/>
    <w:rsid w:val="00C02B2A"/>
    <w:rsid w:val="00C03BCF"/>
    <w:rsid w:val="00C060CA"/>
    <w:rsid w:val="00C07E65"/>
    <w:rsid w:val="00C10D12"/>
    <w:rsid w:val="00C11735"/>
    <w:rsid w:val="00C12448"/>
    <w:rsid w:val="00C13FED"/>
    <w:rsid w:val="00C14882"/>
    <w:rsid w:val="00C20314"/>
    <w:rsid w:val="00C24580"/>
    <w:rsid w:val="00C261A6"/>
    <w:rsid w:val="00C3068A"/>
    <w:rsid w:val="00C335C8"/>
    <w:rsid w:val="00C35759"/>
    <w:rsid w:val="00C370D6"/>
    <w:rsid w:val="00C40A23"/>
    <w:rsid w:val="00C4691D"/>
    <w:rsid w:val="00C46A82"/>
    <w:rsid w:val="00C46AF8"/>
    <w:rsid w:val="00C47156"/>
    <w:rsid w:val="00C53FC4"/>
    <w:rsid w:val="00C563CC"/>
    <w:rsid w:val="00C613A3"/>
    <w:rsid w:val="00C62A66"/>
    <w:rsid w:val="00C62DCF"/>
    <w:rsid w:val="00C72989"/>
    <w:rsid w:val="00C73A21"/>
    <w:rsid w:val="00C74B45"/>
    <w:rsid w:val="00C7717A"/>
    <w:rsid w:val="00C77B7A"/>
    <w:rsid w:val="00C81153"/>
    <w:rsid w:val="00C812F2"/>
    <w:rsid w:val="00C81F78"/>
    <w:rsid w:val="00C82F38"/>
    <w:rsid w:val="00C84563"/>
    <w:rsid w:val="00C857F3"/>
    <w:rsid w:val="00C933D7"/>
    <w:rsid w:val="00C93AB6"/>
    <w:rsid w:val="00C93C6F"/>
    <w:rsid w:val="00C94D53"/>
    <w:rsid w:val="00C97945"/>
    <w:rsid w:val="00CA00BA"/>
    <w:rsid w:val="00CA09B1"/>
    <w:rsid w:val="00CA109E"/>
    <w:rsid w:val="00CA1D73"/>
    <w:rsid w:val="00CA7E43"/>
    <w:rsid w:val="00CB083A"/>
    <w:rsid w:val="00CB2084"/>
    <w:rsid w:val="00CB23FA"/>
    <w:rsid w:val="00CB5870"/>
    <w:rsid w:val="00CB6D4B"/>
    <w:rsid w:val="00CC018A"/>
    <w:rsid w:val="00CC0F72"/>
    <w:rsid w:val="00CC239B"/>
    <w:rsid w:val="00CC2D7F"/>
    <w:rsid w:val="00CC2F0A"/>
    <w:rsid w:val="00CC350B"/>
    <w:rsid w:val="00CC3A75"/>
    <w:rsid w:val="00CC43E6"/>
    <w:rsid w:val="00CC77BA"/>
    <w:rsid w:val="00CC7C8D"/>
    <w:rsid w:val="00CD1798"/>
    <w:rsid w:val="00CD4B05"/>
    <w:rsid w:val="00CD5161"/>
    <w:rsid w:val="00CD5359"/>
    <w:rsid w:val="00CD74BA"/>
    <w:rsid w:val="00CD7620"/>
    <w:rsid w:val="00CE116C"/>
    <w:rsid w:val="00CE1C36"/>
    <w:rsid w:val="00CE2E2D"/>
    <w:rsid w:val="00CE2F3E"/>
    <w:rsid w:val="00CE399E"/>
    <w:rsid w:val="00CE4947"/>
    <w:rsid w:val="00CE7215"/>
    <w:rsid w:val="00CF036A"/>
    <w:rsid w:val="00CF16E7"/>
    <w:rsid w:val="00CF1E48"/>
    <w:rsid w:val="00CF3D48"/>
    <w:rsid w:val="00CF4237"/>
    <w:rsid w:val="00CF489C"/>
    <w:rsid w:val="00D00D70"/>
    <w:rsid w:val="00D01D12"/>
    <w:rsid w:val="00D0209F"/>
    <w:rsid w:val="00D05336"/>
    <w:rsid w:val="00D06469"/>
    <w:rsid w:val="00D06DF6"/>
    <w:rsid w:val="00D071D1"/>
    <w:rsid w:val="00D072AC"/>
    <w:rsid w:val="00D12076"/>
    <w:rsid w:val="00D1236A"/>
    <w:rsid w:val="00D124FD"/>
    <w:rsid w:val="00D1273D"/>
    <w:rsid w:val="00D12884"/>
    <w:rsid w:val="00D128A3"/>
    <w:rsid w:val="00D14A4A"/>
    <w:rsid w:val="00D15509"/>
    <w:rsid w:val="00D15ABC"/>
    <w:rsid w:val="00D17D73"/>
    <w:rsid w:val="00D22BBB"/>
    <w:rsid w:val="00D230A8"/>
    <w:rsid w:val="00D2753B"/>
    <w:rsid w:val="00D3046D"/>
    <w:rsid w:val="00D304E3"/>
    <w:rsid w:val="00D3083F"/>
    <w:rsid w:val="00D30B36"/>
    <w:rsid w:val="00D31513"/>
    <w:rsid w:val="00D32F4C"/>
    <w:rsid w:val="00D33B36"/>
    <w:rsid w:val="00D34470"/>
    <w:rsid w:val="00D34BB2"/>
    <w:rsid w:val="00D357CA"/>
    <w:rsid w:val="00D35C21"/>
    <w:rsid w:val="00D37D24"/>
    <w:rsid w:val="00D37D8F"/>
    <w:rsid w:val="00D41620"/>
    <w:rsid w:val="00D42AC3"/>
    <w:rsid w:val="00D44A4D"/>
    <w:rsid w:val="00D44F3F"/>
    <w:rsid w:val="00D47A1F"/>
    <w:rsid w:val="00D52C86"/>
    <w:rsid w:val="00D5309C"/>
    <w:rsid w:val="00D56140"/>
    <w:rsid w:val="00D56A71"/>
    <w:rsid w:val="00D574F8"/>
    <w:rsid w:val="00D60363"/>
    <w:rsid w:val="00D60896"/>
    <w:rsid w:val="00D619CB"/>
    <w:rsid w:val="00D61B80"/>
    <w:rsid w:val="00D65445"/>
    <w:rsid w:val="00D6639B"/>
    <w:rsid w:val="00D7505E"/>
    <w:rsid w:val="00D75C09"/>
    <w:rsid w:val="00D76590"/>
    <w:rsid w:val="00D7678B"/>
    <w:rsid w:val="00D776C6"/>
    <w:rsid w:val="00D77B0C"/>
    <w:rsid w:val="00D77BB3"/>
    <w:rsid w:val="00D81687"/>
    <w:rsid w:val="00D832D9"/>
    <w:rsid w:val="00D901F7"/>
    <w:rsid w:val="00D94B7D"/>
    <w:rsid w:val="00D97F96"/>
    <w:rsid w:val="00DA0E50"/>
    <w:rsid w:val="00DA1753"/>
    <w:rsid w:val="00DA3ED7"/>
    <w:rsid w:val="00DA6390"/>
    <w:rsid w:val="00DA7593"/>
    <w:rsid w:val="00DB0BA6"/>
    <w:rsid w:val="00DB180B"/>
    <w:rsid w:val="00DB2082"/>
    <w:rsid w:val="00DB245E"/>
    <w:rsid w:val="00DB3C03"/>
    <w:rsid w:val="00DC00A2"/>
    <w:rsid w:val="00DC0D27"/>
    <w:rsid w:val="00DC13C6"/>
    <w:rsid w:val="00DC1D1C"/>
    <w:rsid w:val="00DC335B"/>
    <w:rsid w:val="00DD05A6"/>
    <w:rsid w:val="00DD3273"/>
    <w:rsid w:val="00DD330F"/>
    <w:rsid w:val="00DD3364"/>
    <w:rsid w:val="00DD3A41"/>
    <w:rsid w:val="00DD4FF8"/>
    <w:rsid w:val="00DD6632"/>
    <w:rsid w:val="00DD6AA9"/>
    <w:rsid w:val="00DE045C"/>
    <w:rsid w:val="00DE60BA"/>
    <w:rsid w:val="00DE65C6"/>
    <w:rsid w:val="00DE7A30"/>
    <w:rsid w:val="00DF0CE1"/>
    <w:rsid w:val="00DF10A0"/>
    <w:rsid w:val="00DF1828"/>
    <w:rsid w:val="00DF2448"/>
    <w:rsid w:val="00DF3FAA"/>
    <w:rsid w:val="00DF5CF3"/>
    <w:rsid w:val="00DF73AE"/>
    <w:rsid w:val="00E004E7"/>
    <w:rsid w:val="00E0117A"/>
    <w:rsid w:val="00E01B6D"/>
    <w:rsid w:val="00E03F71"/>
    <w:rsid w:val="00E06F7E"/>
    <w:rsid w:val="00E073ED"/>
    <w:rsid w:val="00E1071F"/>
    <w:rsid w:val="00E148CB"/>
    <w:rsid w:val="00E20283"/>
    <w:rsid w:val="00E2171F"/>
    <w:rsid w:val="00E21E9F"/>
    <w:rsid w:val="00E24413"/>
    <w:rsid w:val="00E24E62"/>
    <w:rsid w:val="00E25C51"/>
    <w:rsid w:val="00E319C5"/>
    <w:rsid w:val="00E31D5C"/>
    <w:rsid w:val="00E3482E"/>
    <w:rsid w:val="00E42DE7"/>
    <w:rsid w:val="00E4505F"/>
    <w:rsid w:val="00E45DC3"/>
    <w:rsid w:val="00E46E69"/>
    <w:rsid w:val="00E47E7D"/>
    <w:rsid w:val="00E529BB"/>
    <w:rsid w:val="00E52C04"/>
    <w:rsid w:val="00E54167"/>
    <w:rsid w:val="00E55545"/>
    <w:rsid w:val="00E63ECF"/>
    <w:rsid w:val="00E648AB"/>
    <w:rsid w:val="00E64BC5"/>
    <w:rsid w:val="00E66C9B"/>
    <w:rsid w:val="00E66F01"/>
    <w:rsid w:val="00E67D99"/>
    <w:rsid w:val="00E70EC4"/>
    <w:rsid w:val="00E721D9"/>
    <w:rsid w:val="00E83F0F"/>
    <w:rsid w:val="00E84B68"/>
    <w:rsid w:val="00E86C2D"/>
    <w:rsid w:val="00E86CEB"/>
    <w:rsid w:val="00E87969"/>
    <w:rsid w:val="00E94194"/>
    <w:rsid w:val="00E94654"/>
    <w:rsid w:val="00E94671"/>
    <w:rsid w:val="00E9482E"/>
    <w:rsid w:val="00E978B7"/>
    <w:rsid w:val="00E979B5"/>
    <w:rsid w:val="00EA0C3B"/>
    <w:rsid w:val="00EA348D"/>
    <w:rsid w:val="00EA3800"/>
    <w:rsid w:val="00EA5F65"/>
    <w:rsid w:val="00EB1840"/>
    <w:rsid w:val="00EB3056"/>
    <w:rsid w:val="00EB3C3A"/>
    <w:rsid w:val="00EB4158"/>
    <w:rsid w:val="00EB418E"/>
    <w:rsid w:val="00EB4BEF"/>
    <w:rsid w:val="00EB6382"/>
    <w:rsid w:val="00EB702B"/>
    <w:rsid w:val="00EC1200"/>
    <w:rsid w:val="00EC17CC"/>
    <w:rsid w:val="00EC1C1C"/>
    <w:rsid w:val="00EC2318"/>
    <w:rsid w:val="00EC393B"/>
    <w:rsid w:val="00EC78D0"/>
    <w:rsid w:val="00ED3AB2"/>
    <w:rsid w:val="00ED69CA"/>
    <w:rsid w:val="00EE0383"/>
    <w:rsid w:val="00EE19A0"/>
    <w:rsid w:val="00EE477D"/>
    <w:rsid w:val="00EE5C07"/>
    <w:rsid w:val="00EE6DB2"/>
    <w:rsid w:val="00EE7823"/>
    <w:rsid w:val="00EE7A76"/>
    <w:rsid w:val="00EE7C10"/>
    <w:rsid w:val="00EF064C"/>
    <w:rsid w:val="00EF0BDA"/>
    <w:rsid w:val="00EF1F3A"/>
    <w:rsid w:val="00EF203B"/>
    <w:rsid w:val="00EF23F7"/>
    <w:rsid w:val="00EF6D36"/>
    <w:rsid w:val="00F02CAF"/>
    <w:rsid w:val="00F046CF"/>
    <w:rsid w:val="00F1539E"/>
    <w:rsid w:val="00F15B95"/>
    <w:rsid w:val="00F23FCF"/>
    <w:rsid w:val="00F255D7"/>
    <w:rsid w:val="00F276CE"/>
    <w:rsid w:val="00F34607"/>
    <w:rsid w:val="00F4056A"/>
    <w:rsid w:val="00F42FEB"/>
    <w:rsid w:val="00F4382D"/>
    <w:rsid w:val="00F44E2A"/>
    <w:rsid w:val="00F457EB"/>
    <w:rsid w:val="00F46B61"/>
    <w:rsid w:val="00F46C16"/>
    <w:rsid w:val="00F50A3A"/>
    <w:rsid w:val="00F513BA"/>
    <w:rsid w:val="00F552C1"/>
    <w:rsid w:val="00F55624"/>
    <w:rsid w:val="00F573A5"/>
    <w:rsid w:val="00F57CCB"/>
    <w:rsid w:val="00F61F58"/>
    <w:rsid w:val="00F66A93"/>
    <w:rsid w:val="00F67BBC"/>
    <w:rsid w:val="00F70A87"/>
    <w:rsid w:val="00F71F2F"/>
    <w:rsid w:val="00F76998"/>
    <w:rsid w:val="00F76D74"/>
    <w:rsid w:val="00F77AD2"/>
    <w:rsid w:val="00F826A4"/>
    <w:rsid w:val="00F850E8"/>
    <w:rsid w:val="00F869D7"/>
    <w:rsid w:val="00F87AFA"/>
    <w:rsid w:val="00F92909"/>
    <w:rsid w:val="00F94FB4"/>
    <w:rsid w:val="00F95750"/>
    <w:rsid w:val="00FA03B7"/>
    <w:rsid w:val="00FA0434"/>
    <w:rsid w:val="00FA2A84"/>
    <w:rsid w:val="00FA6CE1"/>
    <w:rsid w:val="00FA7DD4"/>
    <w:rsid w:val="00FB2CB6"/>
    <w:rsid w:val="00FB3F16"/>
    <w:rsid w:val="00FB664C"/>
    <w:rsid w:val="00FC3867"/>
    <w:rsid w:val="00FC38B6"/>
    <w:rsid w:val="00FC4D76"/>
    <w:rsid w:val="00FC6DF4"/>
    <w:rsid w:val="00FD1448"/>
    <w:rsid w:val="00FD1997"/>
    <w:rsid w:val="00FD1C00"/>
    <w:rsid w:val="00FD53D4"/>
    <w:rsid w:val="00FE0A8F"/>
    <w:rsid w:val="00FE0EFA"/>
    <w:rsid w:val="00FE19EA"/>
    <w:rsid w:val="00FE2457"/>
    <w:rsid w:val="00FE310F"/>
    <w:rsid w:val="00FE592B"/>
    <w:rsid w:val="00FE5B09"/>
    <w:rsid w:val="00FE6121"/>
    <w:rsid w:val="00FE6417"/>
    <w:rsid w:val="00FE79F8"/>
    <w:rsid w:val="00FF5620"/>
    <w:rsid w:val="00FF6616"/>
    <w:rsid w:val="00FF7A93"/>
    <w:rsid w:val="019C45B0"/>
    <w:rsid w:val="03CE1846"/>
    <w:rsid w:val="05BC4142"/>
    <w:rsid w:val="05F30643"/>
    <w:rsid w:val="06233BF8"/>
    <w:rsid w:val="08B33959"/>
    <w:rsid w:val="094D1C33"/>
    <w:rsid w:val="09617CC6"/>
    <w:rsid w:val="09965586"/>
    <w:rsid w:val="09AF4121"/>
    <w:rsid w:val="09C63218"/>
    <w:rsid w:val="0AFA5289"/>
    <w:rsid w:val="0B7E02E3"/>
    <w:rsid w:val="0C3C3C66"/>
    <w:rsid w:val="0D4224E0"/>
    <w:rsid w:val="0D7B2D4F"/>
    <w:rsid w:val="0E313657"/>
    <w:rsid w:val="0E8B2DCD"/>
    <w:rsid w:val="121D68CF"/>
    <w:rsid w:val="126A58CD"/>
    <w:rsid w:val="12B64239"/>
    <w:rsid w:val="15E63873"/>
    <w:rsid w:val="15F17D58"/>
    <w:rsid w:val="16FD09E0"/>
    <w:rsid w:val="1730195F"/>
    <w:rsid w:val="17C84600"/>
    <w:rsid w:val="18590993"/>
    <w:rsid w:val="18597DC9"/>
    <w:rsid w:val="18992975"/>
    <w:rsid w:val="1A8233A2"/>
    <w:rsid w:val="1CFF2872"/>
    <w:rsid w:val="1DF25FD0"/>
    <w:rsid w:val="1DF47EFC"/>
    <w:rsid w:val="1F6115C2"/>
    <w:rsid w:val="202A5BD2"/>
    <w:rsid w:val="21F60480"/>
    <w:rsid w:val="22A8139A"/>
    <w:rsid w:val="22BD2FE1"/>
    <w:rsid w:val="23007184"/>
    <w:rsid w:val="25270BB7"/>
    <w:rsid w:val="25D52D09"/>
    <w:rsid w:val="26430008"/>
    <w:rsid w:val="291D2B74"/>
    <w:rsid w:val="297D6199"/>
    <w:rsid w:val="29CC7F7F"/>
    <w:rsid w:val="2BEE5E5F"/>
    <w:rsid w:val="2C2A0EB7"/>
    <w:rsid w:val="2E4440FA"/>
    <w:rsid w:val="2F3D16F8"/>
    <w:rsid w:val="2F4777A0"/>
    <w:rsid w:val="32C05922"/>
    <w:rsid w:val="33400003"/>
    <w:rsid w:val="346B2675"/>
    <w:rsid w:val="354F1CA1"/>
    <w:rsid w:val="35D5467E"/>
    <w:rsid w:val="366A02D0"/>
    <w:rsid w:val="3916192D"/>
    <w:rsid w:val="3B034FD5"/>
    <w:rsid w:val="3B32191E"/>
    <w:rsid w:val="3BAE4FCF"/>
    <w:rsid w:val="3BCA3DDF"/>
    <w:rsid w:val="3DD87063"/>
    <w:rsid w:val="3EB53C33"/>
    <w:rsid w:val="3F3E2D7E"/>
    <w:rsid w:val="425828A0"/>
    <w:rsid w:val="434F2D0E"/>
    <w:rsid w:val="43A54CCF"/>
    <w:rsid w:val="43CA03C9"/>
    <w:rsid w:val="43CF0940"/>
    <w:rsid w:val="45B1100D"/>
    <w:rsid w:val="45D40490"/>
    <w:rsid w:val="46504415"/>
    <w:rsid w:val="486215CF"/>
    <w:rsid w:val="496131AD"/>
    <w:rsid w:val="49AD34D2"/>
    <w:rsid w:val="49D64993"/>
    <w:rsid w:val="4BD25472"/>
    <w:rsid w:val="4CE27F9F"/>
    <w:rsid w:val="51905AE0"/>
    <w:rsid w:val="52570D73"/>
    <w:rsid w:val="52B40703"/>
    <w:rsid w:val="53427EB3"/>
    <w:rsid w:val="53566867"/>
    <w:rsid w:val="54E17C2E"/>
    <w:rsid w:val="55AF4E49"/>
    <w:rsid w:val="56616849"/>
    <w:rsid w:val="57C71C02"/>
    <w:rsid w:val="589715D5"/>
    <w:rsid w:val="59AC3AB2"/>
    <w:rsid w:val="5B445318"/>
    <w:rsid w:val="5B6E3ADC"/>
    <w:rsid w:val="5C4952DC"/>
    <w:rsid w:val="5CF3313D"/>
    <w:rsid w:val="5D2E729C"/>
    <w:rsid w:val="5ED51227"/>
    <w:rsid w:val="5F1A4D0E"/>
    <w:rsid w:val="606F2E37"/>
    <w:rsid w:val="60FD48E7"/>
    <w:rsid w:val="61695AD8"/>
    <w:rsid w:val="619D6F43"/>
    <w:rsid w:val="61A75B5A"/>
    <w:rsid w:val="62A15DCF"/>
    <w:rsid w:val="680A4FCC"/>
    <w:rsid w:val="68453531"/>
    <w:rsid w:val="6AC349B3"/>
    <w:rsid w:val="6E7A30D3"/>
    <w:rsid w:val="6FB607BF"/>
    <w:rsid w:val="70066A80"/>
    <w:rsid w:val="72B27E02"/>
    <w:rsid w:val="72B91454"/>
    <w:rsid w:val="743005A4"/>
    <w:rsid w:val="74942A15"/>
    <w:rsid w:val="74E3172A"/>
    <w:rsid w:val="750F46D3"/>
    <w:rsid w:val="75A35000"/>
    <w:rsid w:val="77730A9B"/>
    <w:rsid w:val="7BD81D81"/>
    <w:rsid w:val="7BF5672D"/>
    <w:rsid w:val="7D0C21EB"/>
    <w:rsid w:val="7D416772"/>
    <w:rsid w:val="7DDE6CD5"/>
    <w:rsid w:val="7EE97656"/>
    <w:rsid w:val="7F9A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仿宋" w:hAnsi="仿宋" w:eastAsia="仿宋" w:cs="Times New Roman"/>
      <w:color w:val="000000" w:themeColor="text1"/>
      <w:kern w:val="2"/>
      <w:sz w:val="24"/>
      <w:szCs w:val="24"/>
      <w:lang w:val="en-US" w:eastAsia="zh-CN" w:bidi="ar-SA"/>
      <w14:textFill>
        <w14:solidFill>
          <w14:schemeClr w14:val="tx1"/>
        </w14:solidFill>
      </w14:textFill>
    </w:rPr>
  </w:style>
  <w:style w:type="paragraph" w:styleId="2">
    <w:name w:val="heading 1"/>
    <w:basedOn w:val="1"/>
    <w:next w:val="1"/>
    <w:link w:val="35"/>
    <w:autoRedefine/>
    <w:qFormat/>
    <w:uiPriority w:val="9"/>
    <w:pPr>
      <w:widowControl/>
      <w:spacing w:before="100" w:beforeAutospacing="1" w:after="100" w:afterAutospacing="1"/>
      <w:outlineLvl w:val="0"/>
    </w:pPr>
    <w:rPr>
      <w:rFonts w:ascii="宋体" w:hAnsi="宋体" w:cs="宋体"/>
      <w:b/>
      <w:bCs/>
      <w:kern w:val="36"/>
      <w:sz w:val="48"/>
      <w:szCs w:val="4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autoRedefine/>
    <w:unhideWhenUsed/>
    <w:qFormat/>
    <w:uiPriority w:val="0"/>
  </w:style>
  <w:style w:type="paragraph" w:styleId="4">
    <w:name w:val="Body Text"/>
    <w:basedOn w:val="1"/>
    <w:link w:val="42"/>
    <w:semiHidden/>
    <w:unhideWhenUsed/>
    <w:qFormat/>
    <w:uiPriority w:val="0"/>
    <w:pPr>
      <w:spacing w:after="120"/>
    </w:pPr>
  </w:style>
  <w:style w:type="paragraph" w:styleId="5">
    <w:name w:val="Body Text Indent"/>
    <w:basedOn w:val="1"/>
    <w:autoRedefine/>
    <w:qFormat/>
    <w:uiPriority w:val="0"/>
    <w:pPr>
      <w:widowControl/>
      <w:spacing w:before="43" w:line="360" w:lineRule="auto"/>
      <w:ind w:firstLine="3920" w:firstLineChars="1400"/>
    </w:pPr>
    <w:rPr>
      <w:rFonts w:ascii="宋体" w:hAnsi="宋体"/>
      <w:sz w:val="28"/>
    </w:rPr>
  </w:style>
  <w:style w:type="paragraph" w:styleId="6">
    <w:name w:val="Plain Text"/>
    <w:basedOn w:val="1"/>
    <w:link w:val="26"/>
    <w:autoRedefine/>
    <w:qFormat/>
    <w:uiPriority w:val="0"/>
    <w:rPr>
      <w:rFonts w:ascii="宋体" w:hAnsi="Courier New"/>
      <w:szCs w:val="21"/>
    </w:rPr>
  </w:style>
  <w:style w:type="paragraph" w:styleId="7">
    <w:name w:val="Body Text Indent 2"/>
    <w:basedOn w:val="1"/>
    <w:link w:val="36"/>
    <w:autoRedefine/>
    <w:qFormat/>
    <w:uiPriority w:val="0"/>
    <w:pPr>
      <w:ind w:firstLine="200" w:firstLineChars="200"/>
    </w:pPr>
    <w:rPr>
      <w:rFonts w:ascii="宋体"/>
      <w:b/>
      <w:bCs/>
    </w:rPr>
  </w:style>
  <w:style w:type="paragraph" w:styleId="8">
    <w:name w:val="Balloon Text"/>
    <w:basedOn w:val="1"/>
    <w:link w:val="25"/>
    <w:autoRedefine/>
    <w:qFormat/>
    <w:uiPriority w:val="0"/>
    <w:rPr>
      <w:sz w:val="18"/>
      <w:szCs w:val="18"/>
    </w:rPr>
  </w:style>
  <w:style w:type="paragraph" w:styleId="9">
    <w:name w:val="footer"/>
    <w:basedOn w:val="1"/>
    <w:link w:val="38"/>
    <w:autoRedefine/>
    <w:qFormat/>
    <w:uiPriority w:val="99"/>
    <w:pPr>
      <w:tabs>
        <w:tab w:val="center" w:pos="4153"/>
        <w:tab w:val="right" w:pos="8306"/>
      </w:tabs>
      <w:snapToGrid w:val="0"/>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autoRedefine/>
    <w:qFormat/>
    <w:uiPriority w:val="0"/>
    <w:pPr>
      <w:widowControl/>
      <w:ind w:left="420" w:hanging="420"/>
    </w:pPr>
    <w:rPr>
      <w:rFonts w:ascii="宋体" w:hAnsi="Calibri"/>
      <w:kern w:val="0"/>
      <w:sz w:val="22"/>
      <w:szCs w:val="20"/>
    </w:rPr>
  </w:style>
  <w:style w:type="paragraph" w:styleId="12">
    <w:name w:val="footnote text"/>
    <w:basedOn w:val="1"/>
    <w:link w:val="37"/>
    <w:autoRedefine/>
    <w:unhideWhenUsed/>
    <w:qFormat/>
    <w:uiPriority w:val="0"/>
    <w:pPr>
      <w:snapToGrid w:val="0"/>
    </w:pPr>
    <w:rPr>
      <w:sz w:val="18"/>
      <w:szCs w:val="18"/>
    </w:rPr>
  </w:style>
  <w:style w:type="paragraph" w:styleId="13">
    <w:name w:val="Body Text Indent 3"/>
    <w:basedOn w:val="1"/>
    <w:autoRedefine/>
    <w:qFormat/>
    <w:uiPriority w:val="0"/>
    <w:pPr>
      <w:adjustRightInd w:val="0"/>
      <w:snapToGrid w:val="0"/>
      <w:spacing w:line="300" w:lineRule="auto"/>
      <w:ind w:left="2"/>
    </w:pPr>
    <w:rPr>
      <w:rFonts w:eastAsia="仿宋_GB2312"/>
      <w:snapToGrid w:val="0"/>
      <w:sz w:val="3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15">
    <w:name w:val="Normal (Web)"/>
    <w:basedOn w:val="1"/>
    <w:autoRedefine/>
    <w:unhideWhenUsed/>
    <w:qFormat/>
    <w:uiPriority w:val="99"/>
    <w:pPr>
      <w:widowControl/>
      <w:spacing w:before="100" w:beforeAutospacing="1" w:after="100" w:afterAutospacing="1"/>
    </w:pPr>
    <w:rPr>
      <w:rFonts w:ascii="宋体" w:hAnsi="宋体" w:cs="宋体"/>
      <w:kern w:val="0"/>
    </w:rPr>
  </w:style>
  <w:style w:type="paragraph" w:styleId="16">
    <w:name w:val="annotation subject"/>
    <w:basedOn w:val="3"/>
    <w:next w:val="3"/>
    <w:link w:val="34"/>
    <w:autoRedefine/>
    <w:semiHidden/>
    <w:unhideWhenUsed/>
    <w:qFormat/>
    <w:uiPriority w:val="0"/>
    <w:rPr>
      <w:b/>
      <w:bCs/>
    </w:rPr>
  </w:style>
  <w:style w:type="paragraph" w:styleId="17">
    <w:name w:val="Body Text First Indent"/>
    <w:basedOn w:val="4"/>
    <w:link w:val="43"/>
    <w:qFormat/>
    <w:uiPriority w:val="0"/>
    <w:pPr>
      <w:ind w:firstLine="420" w:firstLineChars="100"/>
    </w:p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basedOn w:val="20"/>
    <w:autoRedefine/>
    <w:unhideWhenUsed/>
    <w:qFormat/>
    <w:uiPriority w:val="0"/>
    <w:rPr>
      <w:color w:val="0000FF" w:themeColor="hyperlink"/>
      <w:u w:val="single"/>
      <w14:textFill>
        <w14:solidFill>
          <w14:schemeClr w14:val="hlink"/>
        </w14:solidFill>
      </w14:textFill>
    </w:rPr>
  </w:style>
  <w:style w:type="character" w:styleId="23">
    <w:name w:val="annotation reference"/>
    <w:basedOn w:val="20"/>
    <w:autoRedefine/>
    <w:semiHidden/>
    <w:unhideWhenUsed/>
    <w:qFormat/>
    <w:uiPriority w:val="0"/>
    <w:rPr>
      <w:sz w:val="21"/>
      <w:szCs w:val="21"/>
    </w:rPr>
  </w:style>
  <w:style w:type="character" w:styleId="24">
    <w:name w:val="footnote reference"/>
    <w:basedOn w:val="20"/>
    <w:autoRedefine/>
    <w:semiHidden/>
    <w:unhideWhenUsed/>
    <w:qFormat/>
    <w:uiPriority w:val="0"/>
    <w:rPr>
      <w:vertAlign w:val="superscript"/>
    </w:rPr>
  </w:style>
  <w:style w:type="character" w:customStyle="1" w:styleId="25">
    <w:name w:val="批注框文本 Char"/>
    <w:basedOn w:val="20"/>
    <w:link w:val="8"/>
    <w:autoRedefine/>
    <w:qFormat/>
    <w:uiPriority w:val="0"/>
    <w:rPr>
      <w:kern w:val="2"/>
      <w:sz w:val="18"/>
      <w:szCs w:val="18"/>
    </w:rPr>
  </w:style>
  <w:style w:type="character" w:customStyle="1" w:styleId="26">
    <w:name w:val="纯文本 Char"/>
    <w:basedOn w:val="20"/>
    <w:link w:val="6"/>
    <w:autoRedefine/>
    <w:qFormat/>
    <w:uiPriority w:val="0"/>
    <w:rPr>
      <w:rFonts w:ascii="宋体" w:hAnsi="Courier New"/>
      <w:kern w:val="2"/>
      <w:sz w:val="21"/>
      <w:szCs w:val="21"/>
    </w:rPr>
  </w:style>
  <w:style w:type="paragraph" w:customStyle="1" w:styleId="27">
    <w:name w:val="修订1"/>
    <w:autoRedefine/>
    <w:semiHidden/>
    <w:qFormat/>
    <w:uiPriority w:val="99"/>
    <w:rPr>
      <w:rFonts w:ascii="Times New Roman" w:hAnsi="Times New Roman" w:eastAsia="宋体" w:cs="Times New Roman"/>
      <w:kern w:val="2"/>
      <w:sz w:val="21"/>
      <w:szCs w:val="24"/>
      <w:lang w:val="en-US" w:eastAsia="zh-CN" w:bidi="ar-SA"/>
    </w:rPr>
  </w:style>
  <w:style w:type="character" w:customStyle="1" w:styleId="28">
    <w:name w:val="纯文本 Char1"/>
    <w:autoRedefine/>
    <w:qFormat/>
    <w:uiPriority w:val="0"/>
    <w:rPr>
      <w:rFonts w:ascii="宋体" w:hAnsi="Courier New" w:eastAsia="宋体"/>
      <w:kern w:val="2"/>
      <w:sz w:val="21"/>
      <w:lang w:val="en-US" w:eastAsia="zh-CN" w:bidi="ar-SA"/>
    </w:rPr>
  </w:style>
  <w:style w:type="paragraph" w:styleId="29">
    <w:name w:val="List Paragraph"/>
    <w:basedOn w:val="1"/>
    <w:qFormat/>
    <w:uiPriority w:val="34"/>
    <w:pPr>
      <w:ind w:firstLine="420" w:firstLineChars="200"/>
    </w:pPr>
  </w:style>
  <w:style w:type="paragraph" w:customStyle="1" w:styleId="30">
    <w:name w:val="列出段落1"/>
    <w:basedOn w:val="1"/>
    <w:autoRedefine/>
    <w:qFormat/>
    <w:uiPriority w:val="34"/>
    <w:pPr>
      <w:ind w:firstLine="420" w:firstLineChars="200"/>
    </w:pPr>
    <w:rPr>
      <w:rFonts w:asciiTheme="minorHAnsi" w:hAnsiTheme="minorHAnsi" w:eastAsiaTheme="minorEastAsia" w:cstheme="minorBidi"/>
      <w:szCs w:val="22"/>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21"/>
    <w:basedOn w:val="1"/>
    <w:next w:val="29"/>
    <w:autoRedefine/>
    <w:qFormat/>
    <w:uiPriority w:val="34"/>
    <w:pPr>
      <w:ind w:firstLine="420" w:firstLineChars="200"/>
    </w:pPr>
    <w:rPr>
      <w:rFonts w:ascii="等线" w:hAnsi="等线" w:eastAsia="等线"/>
      <w:szCs w:val="22"/>
    </w:rPr>
  </w:style>
  <w:style w:type="character" w:customStyle="1" w:styleId="33">
    <w:name w:val="批注文字 Char"/>
    <w:basedOn w:val="20"/>
    <w:link w:val="3"/>
    <w:autoRedefine/>
    <w:qFormat/>
    <w:uiPriority w:val="0"/>
    <w:rPr>
      <w:kern w:val="2"/>
      <w:sz w:val="21"/>
      <w:szCs w:val="24"/>
    </w:rPr>
  </w:style>
  <w:style w:type="character" w:customStyle="1" w:styleId="34">
    <w:name w:val="批注主题 Char"/>
    <w:basedOn w:val="33"/>
    <w:link w:val="16"/>
    <w:autoRedefine/>
    <w:semiHidden/>
    <w:qFormat/>
    <w:uiPriority w:val="0"/>
    <w:rPr>
      <w:b/>
      <w:bCs/>
      <w:kern w:val="2"/>
      <w:sz w:val="21"/>
      <w:szCs w:val="24"/>
    </w:rPr>
  </w:style>
  <w:style w:type="character" w:customStyle="1" w:styleId="35">
    <w:name w:val="标题 1 Char"/>
    <w:basedOn w:val="20"/>
    <w:link w:val="2"/>
    <w:autoRedefine/>
    <w:qFormat/>
    <w:uiPriority w:val="9"/>
    <w:rPr>
      <w:rFonts w:ascii="宋体" w:hAnsi="宋体" w:cs="宋体"/>
      <w:b/>
      <w:bCs/>
      <w:kern w:val="36"/>
      <w:sz w:val="48"/>
      <w:szCs w:val="48"/>
    </w:rPr>
  </w:style>
  <w:style w:type="character" w:customStyle="1" w:styleId="36">
    <w:name w:val="正文文本缩进 2 Char"/>
    <w:basedOn w:val="20"/>
    <w:link w:val="7"/>
    <w:autoRedefine/>
    <w:qFormat/>
    <w:uiPriority w:val="0"/>
    <w:rPr>
      <w:rFonts w:ascii="宋体"/>
      <w:b/>
      <w:bCs/>
      <w:kern w:val="2"/>
      <w:sz w:val="24"/>
      <w:szCs w:val="24"/>
    </w:rPr>
  </w:style>
  <w:style w:type="character" w:customStyle="1" w:styleId="37">
    <w:name w:val="脚注文本 Char"/>
    <w:basedOn w:val="20"/>
    <w:link w:val="12"/>
    <w:autoRedefine/>
    <w:qFormat/>
    <w:uiPriority w:val="0"/>
    <w:rPr>
      <w:kern w:val="2"/>
      <w:sz w:val="18"/>
      <w:szCs w:val="18"/>
    </w:rPr>
  </w:style>
  <w:style w:type="character" w:customStyle="1" w:styleId="38">
    <w:name w:val="页脚 Char"/>
    <w:basedOn w:val="20"/>
    <w:link w:val="9"/>
    <w:autoRedefine/>
    <w:qFormat/>
    <w:uiPriority w:val="99"/>
    <w:rPr>
      <w:kern w:val="2"/>
      <w:sz w:val="18"/>
      <w:szCs w:val="18"/>
    </w:rPr>
  </w:style>
  <w:style w:type="paragraph" w:customStyle="1" w:styleId="39">
    <w:name w:val="_Style 34"/>
    <w:basedOn w:val="1"/>
    <w:next w:val="29"/>
    <w:autoRedefine/>
    <w:qFormat/>
    <w:uiPriority w:val="34"/>
    <w:pPr>
      <w:ind w:firstLine="420" w:firstLineChars="200"/>
    </w:pPr>
    <w:rPr>
      <w:rFonts w:ascii="等线" w:hAnsi="等线" w:eastAsia="等线"/>
      <w:szCs w:val="22"/>
    </w:rPr>
  </w:style>
  <w:style w:type="paragraph" w:customStyle="1" w:styleId="40">
    <w:name w:val="List Paragraph1"/>
    <w:basedOn w:val="1"/>
    <w:autoRedefine/>
    <w:qFormat/>
    <w:uiPriority w:val="0"/>
    <w:rPr>
      <w:szCs w:val="21"/>
    </w:rPr>
  </w:style>
  <w:style w:type="paragraph" w:customStyle="1" w:styleId="41">
    <w:name w:val="列表段落1"/>
    <w:qFormat/>
    <w:uiPriority w:val="34"/>
    <w:pPr>
      <w:widowControl w:val="0"/>
      <w:ind w:firstLine="420" w:firstLineChars="200"/>
      <w:jc w:val="both"/>
    </w:pPr>
    <w:rPr>
      <w:rFonts w:ascii="Times New Roman" w:hAnsi="Times New Roman" w:eastAsia="宋体" w:cs="Times New Roman"/>
      <w:kern w:val="2"/>
      <w:sz w:val="21"/>
      <w:lang w:val="en-US" w:eastAsia="zh-CN" w:bidi="ar-SA"/>
    </w:rPr>
  </w:style>
  <w:style w:type="character" w:customStyle="1" w:styleId="42">
    <w:name w:val="正文文本 Char"/>
    <w:basedOn w:val="20"/>
    <w:link w:val="4"/>
    <w:semiHidden/>
    <w:qFormat/>
    <w:uiPriority w:val="0"/>
    <w:rPr>
      <w:kern w:val="2"/>
      <w:sz w:val="21"/>
      <w:szCs w:val="24"/>
    </w:rPr>
  </w:style>
  <w:style w:type="character" w:customStyle="1" w:styleId="43">
    <w:name w:val="正文首行缩进 Char"/>
    <w:basedOn w:val="42"/>
    <w:link w:val="17"/>
    <w:qFormat/>
    <w:uiPriority w:val="0"/>
    <w:rPr>
      <w:kern w:val="2"/>
      <w:sz w:val="21"/>
      <w:szCs w:val="24"/>
    </w:rPr>
  </w:style>
  <w:style w:type="paragraph" w:customStyle="1" w:styleId="44">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6BC1-4BFF-4088-976E-D9E1F635A1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11474</Words>
  <Characters>11779</Characters>
  <Lines>131</Lines>
  <Paragraphs>37</Paragraphs>
  <TotalTime>23</TotalTime>
  <ScaleCrop>false</ScaleCrop>
  <LinksUpToDate>false</LinksUpToDate>
  <CharactersWithSpaces>12966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2025-08-07T05:56:00Z</dcterms:created>
  <dc:creator>USER</dc:creator>
  <cp:lastModifiedBy>仓鼠球</cp:lastModifiedBy>
  <cp:lastPrinted>2020-07-20T03:48:00Z</cp:lastPrinted>
  <dcterms:modified xsi:type="dcterms:W3CDTF">2025-09-09T09:30:25Z</dcterms:modified>
  <dc:title>招标编号：zb2011QT</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E500311E36834B859C0CBAF1F287373E_13</vt:lpwstr>
  </property>
  <property fmtid="{D5CDD505-2E9C-101B-9397-08002B2CF9AE}" pid="4" name="KSOTemplateDocerSaveRecord">
    <vt:lpwstr>eyJoZGlkIjoiMzlmM2M1MTllY2RkMTRkZmViMjQ2NTkxYTBjNGM1YzkiLCJ1c2VySWQiOiI2OTY3MDAyODYifQ==</vt:lpwstr>
  </property>
</Properties>
</file>