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4E67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="仿宋" w:hAnsi="仿宋" w:eastAsia="仿宋" w:cs="仿宋"/>
          <w:b/>
          <w:bCs w:val="0"/>
          <w:sz w:val="36"/>
          <w:szCs w:val="21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6"/>
          <w:szCs w:val="21"/>
          <w:lang w:val="en-US" w:eastAsia="zh-CN"/>
        </w:rPr>
        <w:t>南京大学后勤服务集团采购电子评审系统</w:t>
      </w:r>
      <w:r>
        <w:rPr>
          <w:rFonts w:hint="eastAsia" w:cs="仿宋"/>
          <w:b/>
          <w:bCs w:val="0"/>
          <w:sz w:val="36"/>
          <w:szCs w:val="21"/>
          <w:lang w:val="en-US" w:eastAsia="zh-CN"/>
        </w:rPr>
        <w:t>采购要求</w:t>
      </w:r>
    </w:p>
    <w:p w14:paraId="30E557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</w:pPr>
    </w:p>
    <w:p w14:paraId="7EA606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" w:hAnsi="仿宋" w:eastAsia="仿宋" w:cs="仿宋"/>
          <w:b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4"/>
          <w:szCs w:val="24"/>
          <w:lang w:val="en-US" w:eastAsia="zh-CN"/>
        </w:rPr>
        <w:t>一、本次采购项目拟实现的功能和目标</w:t>
      </w:r>
    </w:p>
    <w:p w14:paraId="12D424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" w:hAnsi="仿宋" w:eastAsia="仿宋" w:cs="仿宋"/>
          <w:b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4"/>
          <w:szCs w:val="24"/>
          <w:lang w:val="en-US" w:eastAsia="zh-CN"/>
        </w:rPr>
        <w:t>（一）实现目标</w:t>
      </w:r>
    </w:p>
    <w:p w14:paraId="6FC4C4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  <w:t>为进一步规范后勤采购评审程序，严控廉政风险，提升采购评审工作的规范化、信息化、透明化和高效化管理水平，提出本次采购电子评审系统的采购需求。通过搭建专业化线上评审平台，实现项目响应文件在线提交、评审专家抽取、关键信息抓取与处理、在线打分自动汇总、结果公示、资料归档等</w:t>
      </w:r>
      <w:r>
        <w:rPr>
          <w:rFonts w:hint="eastAsia" w:cs="仿宋"/>
          <w:b w:val="0"/>
          <w:bCs/>
          <w:sz w:val="24"/>
          <w:szCs w:val="24"/>
          <w:lang w:val="en-US" w:eastAsia="zh-CN"/>
        </w:rPr>
        <w:t>功能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  <w:t>，全程电子化闭环管理，简化办事环节、压缩评审时间、强化全程可追溯监管，全面提升后勤采购治理能力与服务保障水平。</w:t>
      </w:r>
    </w:p>
    <w:p w14:paraId="0FF6CD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" w:hAnsi="仿宋" w:eastAsia="仿宋" w:cs="仿宋"/>
          <w:b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4"/>
          <w:szCs w:val="24"/>
          <w:lang w:val="en-US" w:eastAsia="zh-CN"/>
        </w:rPr>
        <w:t>（二）拟实现功能</w:t>
      </w:r>
    </w:p>
    <w:p w14:paraId="2821B0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cs="仿宋"/>
          <w:b w:val="0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  <w:t>本电子评审系统为一体化采购项目申报、供应商管理、项目审批、线上评审、定审公示的全流程信息化管理系统，采用模块化、分布式架构设计，覆盖基础运维、供应商、项目、公告、报名、采购、评审准备、专家库、评审、定审、供应商门户十一大核心业务场景，支持权限精细化管控、流程自定义、数据全程留痕、操作全程审计，满足采购项目规范化、线上化、智能化评审管理需求</w:t>
      </w:r>
      <w:bookmarkStart w:id="0" w:name="_Toc462"/>
      <w:r>
        <w:rPr>
          <w:rFonts w:hint="eastAsia" w:cs="仿宋"/>
          <w:b w:val="0"/>
          <w:bCs/>
          <w:sz w:val="24"/>
          <w:szCs w:val="24"/>
          <w:lang w:val="en-US" w:eastAsia="zh-CN"/>
        </w:rPr>
        <w:t>。具体技术参数如下：</w:t>
      </w:r>
    </w:p>
    <w:bookmarkEnd w:id="0"/>
    <w:p w14:paraId="4910C15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bookmarkStart w:id="1" w:name="_Toc23504"/>
      <w:r>
        <w:t>总体技术要求</w:t>
      </w:r>
    </w:p>
    <w:p w14:paraId="352C814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bookmarkStart w:id="2" w:name="_Toc12427"/>
      <w:r>
        <w:t>架构模式</w:t>
      </w:r>
      <w:bookmarkEnd w:id="2"/>
    </w:p>
    <w:p w14:paraId="54CFB3F2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t>采用 B/S 架构、前后端分离设计，须支持本地化私有部署，支持负载均衡及集群部署模式，保障系统高并发、高稳定运行。系统核心模块采用解耦设计，支持独立升级与扩容，单模块故障不影响整体业务正常运转，适配采购业务持续迭代发展需求。</w:t>
      </w:r>
    </w:p>
    <w:p w14:paraId="3C0AC8D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bookmarkStart w:id="3" w:name="_Toc8471"/>
      <w:r>
        <w:t>开发规范</w:t>
      </w:r>
      <w:bookmarkEnd w:id="3"/>
    </w:p>
    <w:p w14:paraId="7476ACA2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t>遵循主流企业级开发标准，代码分层清晰，接口采用 RESTful 标准规范，具备统一鉴权机制与参数校验规则。支持二次开发与功能拓展，预留第三方系统标准对接接口，提供完整接口开发文档，可快速对接周边业务系统，支撑业务场景延伸与定制化需求落地。</w:t>
      </w:r>
    </w:p>
    <w:p w14:paraId="1F782C6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bookmarkStart w:id="4" w:name="_Toc11543"/>
      <w:r>
        <w:t>数据架构</w:t>
      </w:r>
      <w:bookmarkEnd w:id="4"/>
    </w:p>
    <w:p w14:paraId="5A2811EC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t>采用主流关系型数据库存储核心业务数据，支持数据分类存储、自动备份、离线迁移，保障数据完整性与安全性。支持按项目、流程、文件多维度数据隔离，不同权限用户仅可访问授权范围内的数据；基础数据隔离规则支持可视化配置，复杂隔离逻辑可通过定制开发扩展实现。</w:t>
      </w:r>
    </w:p>
    <w:p w14:paraId="4F672D8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bookmarkStart w:id="5" w:name="_Toc13404"/>
      <w:r>
        <w:t>兼容适配</w:t>
      </w:r>
      <w:bookmarkEnd w:id="5"/>
    </w:p>
    <w:p w14:paraId="2A50929B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t>兼容 Chrome 76 及以上版本、基于 Chromium 内核 76 及以上版本的 Edge、Firefox 等主流浏览器，PC 端全功能操作无差异。页面自适应 1366×768 及以上分辨率，适配台式机、笔记本等各类办公终端设备，不同终端下操作逻辑与功能展示保持一致。</w:t>
      </w:r>
    </w:p>
    <w:p w14:paraId="49FE0D8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bookmarkStart w:id="6" w:name="_Toc4140"/>
      <w:r>
        <w:t>详细功能技术参数</w:t>
      </w:r>
      <w:bookmarkEnd w:id="6"/>
    </w:p>
    <w:p w14:paraId="6A7C9F3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bookmarkStart w:id="7" w:name="_Toc3475"/>
      <w:r>
        <w:t>基础平台</w:t>
      </w:r>
      <w:bookmarkEnd w:id="7"/>
    </w:p>
    <w:p w14:paraId="5F2C0FF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bookmarkStart w:id="8" w:name="_Toc29129"/>
      <w:r>
        <w:t>登录认证</w:t>
      </w:r>
      <w:bookmarkEnd w:id="8"/>
    </w:p>
    <w:p w14:paraId="189D0429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t>支持用户身份认证管理，具备账号密码登录、动态验证码校验双重认证机制，校验主要包含登录账号、登录密码、图形验证码、登录 IP 等字段，实现身份合法性校验，防范非法访问。支持用户主动退出登录、会话超时自动登出，超时时长可由管理员自定义配置。支持登录 IP 白名单配置，可限制指定 IP 段访问系统；支持异常登录检测，连续多次登录失败自动锁定账号。须兼容 CAS、OAuth2.0 标准协议，支持对接统一身份认证平台实现单点登录，对接逻辑支持定制化开发，适配采购人现有认证体系。支持密码复杂度规则配置，支持用户自主修改密码、管理员重置用户密码。</w:t>
      </w:r>
    </w:p>
    <w:p w14:paraId="051E3C2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bookmarkStart w:id="9" w:name="_Toc17175"/>
      <w:r>
        <w:t>用户权限</w:t>
      </w:r>
      <w:bookmarkEnd w:id="9"/>
    </w:p>
    <w:p w14:paraId="61DAF9F5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用户管理</w:t>
      </w:r>
      <w:r>
        <w:t>：支持用户全生命周期信息管理，主要包含用户账号、用户姓名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用户类别、最近登录时间、登录次数、是否允许登录、登录IP限制</w:t>
      </w:r>
      <w:r>
        <w:t>、</w:t>
      </w:r>
      <w:r>
        <w:rPr>
          <w:rFonts w:hint="eastAsia"/>
          <w:lang w:val="en-US" w:eastAsia="zh-CN"/>
        </w:rPr>
        <w:t>隶属</w:t>
      </w:r>
      <w:r>
        <w:t>组织、手机号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身份证号</w:t>
      </w:r>
      <w:r>
        <w:t>、邮箱、创建时间等字段；具备用户新增、信息编辑、批量导入导出、账号启用 / 停用功能，支持用户扩展字段自定义配置，满足不同组织人员信息管理需求。</w:t>
      </w:r>
      <w:r>
        <w:rPr>
          <w:rFonts w:hint="eastAsia"/>
          <w:lang w:val="en-US" w:eastAsia="zh-CN"/>
        </w:rPr>
        <w:t>支持对用户的权限授权、权限审核、查看权限报表、范围授权等功能。</w:t>
      </w:r>
    </w:p>
    <w:p w14:paraId="4D6DE6B1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360" w:lineRule="auto"/>
        <w:ind w:left="0" w:leftChars="0" w:firstLine="482" w:firstLineChars="200"/>
        <w:textAlignment w:val="auto"/>
      </w:pPr>
      <w:r>
        <w:rPr>
          <w:rStyle w:val="17"/>
        </w:rPr>
        <w:t>角色管理</w:t>
      </w:r>
      <w:r>
        <w:t>：支持角色分类与权限配置管理，主要包含角色编码、角色名称、</w:t>
      </w:r>
      <w:r>
        <w:rPr>
          <w:rFonts w:hint="eastAsia"/>
          <w:lang w:val="en-US" w:eastAsia="zh-CN"/>
        </w:rPr>
        <w:t>角色类型、分类</w:t>
      </w:r>
      <w:r>
        <w:t>、备注等字段；具备角色新增、修改、删除、</w:t>
      </w:r>
      <w:r>
        <w:rPr>
          <w:rFonts w:hint="eastAsia"/>
          <w:lang w:val="en-US" w:eastAsia="zh-CN"/>
        </w:rPr>
        <w:t>角色授权、角色授权审核、角色范围授权、角色权限报表、角色范围审核等</w:t>
      </w:r>
      <w:r>
        <w:t>功能。支持多角色权限叠加与互斥管控，权限优先级可配置；复杂权限规则支持定制开发实现，适配灵活的权限管控场景。</w:t>
      </w:r>
    </w:p>
    <w:p w14:paraId="08C0EAEA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360" w:lineRule="auto"/>
        <w:ind w:left="0" w:leftChars="0" w:firstLine="482" w:firstLineChars="200"/>
        <w:textAlignment w:val="auto"/>
      </w:pPr>
      <w:r>
        <w:rPr>
          <w:rStyle w:val="17"/>
        </w:rPr>
        <w:t>菜单权限</w:t>
      </w:r>
      <w:r>
        <w:t>：支持按角色精细化分配菜单权限，主要包含菜单名称、菜单路径、操作权限项、关联角色等字段；实现不同角色差异化功能可见、可操作控制。权限配置可视化操作，配置完成后实时生效，无需重启系统。</w:t>
      </w:r>
    </w:p>
    <w:p w14:paraId="7F14F940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数据权限</w:t>
      </w:r>
      <w:r>
        <w:t>：支持多维度数据权限管控，可按项目、业务流程、附件文件、组织维度配置数据查看、编辑、导出权限，主要包含权限范围、权限类型、授权角色、授权人等字段；实现数据分级隔离，保障敏感数据仅对授权人员开放。</w:t>
      </w:r>
    </w:p>
    <w:p w14:paraId="59A5D3E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t>组织管理</w:t>
      </w:r>
      <w:bookmarkEnd w:id="1"/>
    </w:p>
    <w:p w14:paraId="03C0321F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eastAsia="仿宋"/>
          <w:lang w:val="en-US" w:eastAsia="zh-CN"/>
        </w:rPr>
      </w:pPr>
      <w:r>
        <w:t>支持组织机构层级化管理，主要包含部门编码、部门名称、上级部门、负责人、联系电话、排序号、部门状态等字段；具备部门新增、编辑、删除、启用 / 停用功能。支持组织架构拖拽式层级调整，支持组织编码规则自定义，适配多级单位、多部门管理场景。支持组织负责人、联系信息、排序权重等属性维护，支持组织批量导入导出，提高架构维护效率。</w:t>
      </w:r>
      <w:r>
        <w:rPr>
          <w:rFonts w:hint="eastAsia"/>
          <w:lang w:val="en-US" w:eastAsia="zh-CN"/>
        </w:rPr>
        <w:t>支持对组织的授权、审核和查看权限报表功能。</w:t>
      </w:r>
    </w:p>
    <w:p w14:paraId="4B82165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bookmarkStart w:id="10" w:name="_Toc6250"/>
      <w:r>
        <w:t>消息中心</w:t>
      </w:r>
      <w:bookmarkEnd w:id="10"/>
    </w:p>
    <w:p w14:paraId="4889B6EC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t>支持站内消息全流程管理，主要包含消息标题、消息类型、接收人、发送时间、已读状态、消息内容等字段；内置站内消息推送机制，覆盖系统通用提醒、项目流程节点提醒、业务评审结果提醒、截止时间预警等场景。支持消息模板自定义配置，不同业务场景可配置不同消息内容与推送方式；复杂消息触发规则支持定制开发。消息实时推送，自动记录已读未读状态，支持消息历史查询、批量标记已读、消息删除。</w:t>
      </w:r>
    </w:p>
    <w:p w14:paraId="7683DBD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bookmarkStart w:id="11" w:name="_Toc2106"/>
      <w:r>
        <w:t>系统设置</w:t>
      </w:r>
      <w:bookmarkEnd w:id="11"/>
    </w:p>
    <w:p w14:paraId="24AD356E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字典配置</w:t>
      </w:r>
      <w:r>
        <w:t>：支持多级业务字典管理，主要包含字典编码、字典名称、字典项值、排序号、状态等字段；涵盖项目类型、公告类型、专家类型等通用字典，具备字典项新增、编辑、停用、删除功能，满足业务分类拓展需求，字典项全局复用。</w:t>
      </w:r>
    </w:p>
    <w:p w14:paraId="384BF049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参数配置</w:t>
      </w:r>
      <w:r>
        <w:t>：支持系统核心参数可视化配置，主要包含参数编码、参数名称、参数值、参数说明、生效范围等字段；可设置附件上传最大文件大小、允许上传文件格式、业务流程开关、评审规则开关等核心参数，配置实时生效，无需重启系统。</w:t>
      </w:r>
    </w:p>
    <w:p w14:paraId="00EE6AF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12" w:name="_Toc23071"/>
      <w:r>
        <w:t>日志审计</w:t>
      </w:r>
      <w:bookmarkEnd w:id="12"/>
    </w:p>
    <w:p w14:paraId="53DB0FC5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操作日志</w:t>
      </w:r>
      <w:r>
        <w:t>：支持全量操作行为审计记录，主要包含操作人、操作账号、操作时间、IP 地址、操作模块、操作内容、请求参数、操作结果等字段；完整记录后台所有用户操作行为，日志不可篡改、可永久追溯。支持日志多条件组合查询、导出，支持日志全文检索，日志留存期限不低于 3 年。</w:t>
      </w:r>
    </w:p>
    <w:p w14:paraId="0663C1F3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文件访问日志</w:t>
      </w:r>
      <w:r>
        <w:t>：支持附件文件访问行为精准审计，主要包含访问人、访问时间、文件名称、文件类型、操作类型、</w:t>
      </w:r>
      <w:r>
        <w:rPr>
          <w:rFonts w:hint="eastAsia"/>
          <w:lang w:val="en-US" w:eastAsia="zh-CN"/>
        </w:rPr>
        <w:t>客户端</w:t>
      </w:r>
      <w:r>
        <w:t>IP 等字段；精准记录所有附件文件的查看、下载、预览、打印行为，留存完整审计数据。支持按文件、人员、时间维度筛选查询，满足安全审计与追溯需求。</w:t>
      </w:r>
    </w:p>
    <w:p w14:paraId="29260C6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13" w:name="_Toc2534"/>
      <w:r>
        <w:t>供应商管理</w:t>
      </w:r>
      <w:bookmarkEnd w:id="13"/>
    </w:p>
    <w:p w14:paraId="7F5D0A5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14" w:name="_Toc11745"/>
      <w:r>
        <w:t>注册管理</w:t>
      </w:r>
      <w:bookmarkEnd w:id="14"/>
    </w:p>
    <w:p w14:paraId="632B5FC0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供应商注册</w:t>
      </w:r>
      <w:r>
        <w:t>：支持供应商线上自主注册管理，主要包含企业名称、统一社会信用代码、注册地址、法定代表人、联系人姓名、手机号、邮箱等字段；供应商可在线填写企业基础信息并提交账号开通申请，注册信息自动进入待审核状态，实现供应商准入线上化办理。</w:t>
      </w:r>
    </w:p>
    <w:p w14:paraId="2D7C08D0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资料提交</w:t>
      </w:r>
      <w:r>
        <w:t>：支持供应商备案资料线上提交，可上传营业执照、企业资质、联系人信息、联系方式等备案材料；支持多文件批量上传，兼容图片、PDF 等主流格式，资料提交后同步更新至供应商档案。</w:t>
      </w:r>
    </w:p>
    <w:p w14:paraId="74EAC585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注册审核</w:t>
      </w:r>
      <w:r>
        <w:t>：支持供应商注册资料多级审核管理，主要包含审核状态、审核意见、审核人、审核时间等字段；具备审核通过、驳回、补充材料三种审核状态，审核意见可模板化配置，审核流程全程留痕。审核结果实时通过站内信通知供应商。</w:t>
      </w:r>
    </w:p>
    <w:p w14:paraId="604C804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15" w:name="_Toc31983"/>
      <w:r>
        <w:t>基础信息</w:t>
      </w:r>
      <w:bookmarkEnd w:id="15"/>
    </w:p>
    <w:p w14:paraId="0A8E76F3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企业信息维护</w:t>
      </w:r>
      <w:r>
        <w:t>：支持供应商基础信息更新维护，涵盖企业全量基础信息字段；支持供应商自主或后台管理员编辑、更新企业基础资料，信息变更留存历史记录，可追溯变更前后内容、变更人与变更时间，保障信息真实有效。</w:t>
      </w:r>
    </w:p>
    <w:p w14:paraId="7D9D639A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资质文件管理</w:t>
      </w:r>
      <w:r>
        <w:t>：支持供应商资质文件全生命周期管理，主要包含文件名称、资质类型、有效期、上传时间、文件状态等字段；具备资质文件批量上传、替换、在线预览功能。支持资质有效期管理，到期前自动预警提醒供应商更新，避免资质过期影响业务参与。</w:t>
      </w:r>
    </w:p>
    <w:p w14:paraId="65F0407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16" w:name="_Toc8184"/>
      <w:r>
        <w:t>档案管理</w:t>
      </w:r>
      <w:bookmarkEnd w:id="16"/>
    </w:p>
    <w:p w14:paraId="7001C500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支持供应商完整档案管理，整合供应商历史参与项目记录、采购交易记录、评审参与记录、失信记录等数据维度，形成完整企业档案。支持按企业名称、项目类型、时间范围精准查询，支持供应商档案一键导出 PDF 格式，支持按条件筛选生成供应商名录。支持供应商信用等级评定，可配置评分规则自动计算信用等级。</w:t>
      </w:r>
    </w:p>
    <w:p w14:paraId="51355A2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17" w:name="_Toc688"/>
      <w:r>
        <w:t>状态管理</w:t>
      </w:r>
      <w:bookmarkEnd w:id="17"/>
    </w:p>
    <w:p w14:paraId="246A4428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支持供应商账号状态管控，后台可对供应商账号执行启用、禁用、注销操作，管控供应商系统访问及业务参与权限。支持批量状态操作，关键操作须双人复核，操作记录全程留存，保障账号状态变更合规可追溯，实现供应商准入与退出的全生命周期管控。</w:t>
      </w:r>
    </w:p>
    <w:p w14:paraId="2DA20F0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18" w:name="_Toc16832"/>
      <w:r>
        <w:t>项目管理</w:t>
      </w:r>
      <w:bookmarkEnd w:id="18"/>
    </w:p>
    <w:p w14:paraId="1E0B98A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19" w:name="_Toc11993"/>
      <w:r>
        <w:t>项目录入</w:t>
      </w:r>
      <w:bookmarkEnd w:id="19"/>
    </w:p>
    <w:p w14:paraId="0B43D619"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项目立项</w:t>
      </w:r>
      <w:r>
        <w:t>：支持项目基础信息建档管理，主要包含项目编号、项目名称、项目类型、项目金额、负责人、所属部门、立项时间、项目状态等字段；支持后台创建项目基础信息，完善核心参数，完成项目建档。支持项目编号规则自动生成，支持项目信息批量导入与基础信息导出。</w:t>
      </w:r>
    </w:p>
    <w:p w14:paraId="1EDEEAB4"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项目申报</w:t>
      </w:r>
      <w:r>
        <w:t>：提供线上项目申报功能，支持申报内容在线编辑、提交、暂存；支持项目模板复用，同类项目可直接引用历史模板快速填报，提高立项效率。</w:t>
      </w:r>
    </w:p>
    <w:p w14:paraId="543906E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20" w:name="_Toc2272"/>
      <w:r>
        <w:t>表单配置</w:t>
      </w:r>
      <w:bookmarkEnd w:id="20"/>
    </w:p>
    <w:p w14:paraId="2C53D596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支持可视化在线表单设计，主要包含字段名称、字段类型、必填规则、校验规则、联动逻辑等字段；可自定义项目申报字段与属性，适配不同项目申报需求。支持文本、下拉框、日期、附件、表格、单选/多选等标准表单控件，支持表单联动规则配置，字段值可根据其他字段内容自动计算或展示隐藏；复杂联动逻辑支持脚本定制开发。</w:t>
      </w:r>
    </w:p>
    <w:p w14:paraId="67579DC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21" w:name="_Toc30278"/>
      <w:r>
        <w:t>流程管理</w:t>
      </w:r>
      <w:bookmarkEnd w:id="21"/>
    </w:p>
    <w:p w14:paraId="587EDAF1">
      <w:pPr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审批流配置</w:t>
      </w:r>
      <w:r>
        <w:t>：支持差异化审批流程配置，主要包含节点名称、节点类型、审批人、权限设置、流转条件等字段；可按项目金额、项目类型、所属部门等条件配置审批流程，支持流程节点新增、删除、权限配置、审批人指定，可通过可视化拖拽调整流程走向。</w:t>
      </w:r>
    </w:p>
    <w:p w14:paraId="2FD07DDD">
      <w:pPr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项目审批</w:t>
      </w:r>
      <w:r>
        <w:t>：支持项目申报多级审批办理，具备审批通过、驳回、退回重审功能，审批意见、审批时间、审批人全程留存。支持流程进度实时查看，每个节点状态、办理人、办理时间清晰展示，审批全流程可追溯。</w:t>
      </w:r>
    </w:p>
    <w:p w14:paraId="6EC1D31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22" w:name="_Toc23886"/>
      <w:r>
        <w:t>项目配置</w:t>
      </w:r>
      <w:bookmarkEnd w:id="22"/>
    </w:p>
    <w:p w14:paraId="1C9DD2FB"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时间节点配置</w:t>
      </w:r>
      <w:r>
        <w:t>：支持项目核心时间节点自定义配置，主要包含节点名称、开始时间、截止时间、提醒规则、节假日顺延开关等字段；可配置项目报名时间、采购截止时间、评审开展时间等核心时间节点，支持节点到期多级提醒（提前 7 天、3 天、1 天），支持节假日自动顺延。</w:t>
      </w:r>
    </w:p>
    <w:p w14:paraId="27B53923"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采购参数配置</w:t>
      </w:r>
      <w:r>
        <w:t>：支持采购核心参数自定义配置，可配置缴费规则、业务模板、评分模板、评审专家人数、抽取规则等；不同项目类型可关联不同参数模板，适配差异化采购评审场景。</w:t>
      </w:r>
    </w:p>
    <w:p w14:paraId="44B32E4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23" w:name="_Toc30074"/>
      <w:r>
        <w:t>项目状态管理</w:t>
      </w:r>
      <w:bookmarkEnd w:id="23"/>
    </w:p>
    <w:p w14:paraId="14F4BDA0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支持项目全生命周期状态自动流转，涵盖草稿、审批中、已发布、开审中、评审中、已定审、已归档等状态，状态变更实时记录变更时间与操作人，可查询追溯。支持状态回退审批，特殊场景下可手动调整项目状态，调整须填写原因并留存记录，保障状态变更合规。</w:t>
      </w:r>
    </w:p>
    <w:p w14:paraId="70563B8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24" w:name="_Toc29792"/>
      <w:r>
        <w:t>公告管理</w:t>
      </w:r>
      <w:bookmarkEnd w:id="24"/>
    </w:p>
    <w:p w14:paraId="2637A84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25" w:name="_Toc21471"/>
      <w:r>
        <w:t>采购公告</w:t>
      </w:r>
      <w:bookmarkEnd w:id="25"/>
    </w:p>
    <w:p w14:paraId="61B7AC1D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支持采购公告发布管理，主要包含公告标题、公告类型、发布时间、公告内容、附件、发布状态等字段；支持后台富文本编辑、发布采购公告，可上传附件，支持定时发布，公告发布后同步展示至前台门户，供应商可实时查看。</w:t>
      </w:r>
    </w:p>
    <w:p w14:paraId="3B396D9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26" w:name="_Toc18812"/>
      <w:r>
        <w:t>变更公告</w:t>
      </w:r>
      <w:bookmarkEnd w:id="26"/>
    </w:p>
    <w:p w14:paraId="365339ED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支持项目变更公告发布管理，变更内容包含变更事项、变更详情、变更时间、原公告信息等字段；可在线发布项目变更信息，实时更新项目变更内容，供应商可及时获取项目调整信息。</w:t>
      </w:r>
    </w:p>
    <w:p w14:paraId="2D27BB6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27" w:name="_Toc29257"/>
      <w:r>
        <w:t>结果公告</w:t>
      </w:r>
      <w:bookmarkEnd w:id="27"/>
    </w:p>
    <w:p w14:paraId="1E079462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支持评审结果公示公告管理，主要包含公示内容、公示期、发布时间、中标信息等字段；项目定审完成后可发布评审结果公示公告，公示内容规范可配置，公示期可自定义，发布后同步至前台门户公开展示。</w:t>
      </w:r>
    </w:p>
    <w:p w14:paraId="167FAB9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28" w:name="_Toc18722"/>
      <w:r>
        <w:t>公告维护</w:t>
      </w:r>
      <w:bookmarkEnd w:id="28"/>
    </w:p>
    <w:p w14:paraId="0AD195C8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支持公告全生命周期管理，具备公告草稿保存、已发布公告撤回、内容二次编辑功能。公告撤销、修改须走审批流程，操作记录全程留痕。支持公告分类管理、置顶设置、排序调整，满足公告运营管理需求。</w:t>
      </w:r>
    </w:p>
    <w:p w14:paraId="70D0DDD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29" w:name="_Toc17996"/>
      <w:r>
        <w:t>前端展示</w:t>
      </w:r>
      <w:bookmarkEnd w:id="29"/>
    </w:p>
    <w:p w14:paraId="21ECF39E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支持前台门户公告展示与查询，公告列表支持分页展示、公告详情在线查看，支持公告分类筛选、关键词模糊查询功能。展示样式自适应不同终端，支持公告附件在线预览与下载，提升供应商信息获取体验。</w:t>
      </w:r>
    </w:p>
    <w:p w14:paraId="1C6657D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30" w:name="_Toc10593"/>
      <w:r>
        <w:t>报名管理</w:t>
      </w:r>
      <w:bookmarkEnd w:id="30"/>
    </w:p>
    <w:p w14:paraId="16091DC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31" w:name="_Toc4440"/>
      <w:r>
        <w:t>项目报名</w:t>
      </w:r>
      <w:bookmarkEnd w:id="31"/>
    </w:p>
    <w:p w14:paraId="79043B85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支持供应商线上报名管理，主要包含报名供应商、报名项目、报名时间、报名状态、资质校验结果等字段；供应商可在线查看项目并自主报名，报名信息自动带出供应商已备案的基础信息，无需重复填写。报名信息实时提交、后台实时同步，报名状态实时更新；支持报名资格自动校验，不符合资质的供应商无法报名。支持报名撤销功能，报名截止前供应商可自主撤销报名。</w:t>
      </w:r>
    </w:p>
    <w:p w14:paraId="1D03DCE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32" w:name="_Toc770"/>
      <w:r>
        <w:t>缴费管理</w:t>
      </w:r>
      <w:bookmarkEnd w:id="32"/>
    </w:p>
    <w:p w14:paraId="22CE61DE">
      <w:pPr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缴费信息展示</w:t>
      </w:r>
      <w:r>
        <w:t>：前台可展示官方收款账号、缴费二维码、缴费须知说明，信息清晰可查，供应商可快速获取缴费指引。</w:t>
      </w:r>
    </w:p>
    <w:p w14:paraId="10654ED3">
      <w:pPr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缴费凭证上传</w:t>
      </w:r>
      <w:r>
        <w:t>：支持缴费凭证线上提交管理，主要包含凭证图片、上传时间、审核状态等字段；供应商可线上上传缴费凭证，实时查看审核状态。</w:t>
      </w:r>
    </w:p>
    <w:p w14:paraId="7CE43390">
      <w:pPr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缴费凭证审核</w:t>
      </w:r>
      <w:r>
        <w:t>：支持缴费凭证后台审核，具备审核通过、驳回两种状态，可填写审核意见，审核记录留存。支持缴费状态批量更新，支持缴费数据统计。</w:t>
      </w:r>
    </w:p>
    <w:p w14:paraId="47596B8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33" w:name="_Toc22981"/>
      <w:r>
        <w:t>报名查询</w:t>
      </w:r>
      <w:bookmarkEnd w:id="33"/>
    </w:p>
    <w:p w14:paraId="20BBC23E"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报名供应商查询</w:t>
      </w:r>
      <w:r>
        <w:t>：后台支持查询已报名供应商信息、报名状态、缴费状态，支持按项目、供应商名称、状态等多条件筛选查询，快速定位目标数据。</w:t>
      </w:r>
    </w:p>
    <w:p w14:paraId="5E4919E5"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状态数据导出</w:t>
      </w:r>
      <w:r>
        <w:t>：支持报名的供应商数据、缴费状态数据批量导出为 Excel 格式，导出字段、导出范围可自定义，满足数据统计与归档需求。</w:t>
      </w:r>
    </w:p>
    <w:p w14:paraId="7C83DA7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34" w:name="_Toc6374"/>
      <w:r>
        <w:t>采购管理</w:t>
      </w:r>
      <w:bookmarkEnd w:id="34"/>
    </w:p>
    <w:p w14:paraId="51DC3C5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35" w:name="_Toc32052"/>
      <w:r>
        <w:t>采购资料</w:t>
      </w:r>
      <w:bookmarkEnd w:id="35"/>
    </w:p>
    <w:p w14:paraId="289A97FD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支持采购模板文件管理，主要包含模板名称、适用项目类型、版本号、上传时间、状态等字段；支持采购模板、报价模板文件上传与版本管理，不同项目类型可关联不同模板。支持模板权限管控，仅授权人员可下载编辑模板，保障模板规范统一。</w:t>
      </w:r>
    </w:p>
    <w:p w14:paraId="4F33E3C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36" w:name="_Toc26471"/>
      <w:r>
        <w:t>文件提交</w:t>
      </w:r>
      <w:bookmarkEnd w:id="36"/>
    </w:p>
    <w:p w14:paraId="6C7EB5D5"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采购文件上传</w:t>
      </w:r>
      <w:r>
        <w:t>：支持供应商线上提交采购资料，可上传商务文件、技术文件、报价文件等各类采购资料，支持多文件批量上传，支持大文件断点续传，上传进度实时展示。</w:t>
      </w:r>
    </w:p>
    <w:p w14:paraId="5B92F276"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覆盖上传</w:t>
      </w:r>
      <w:r>
        <w:t>：项目采购截止时间前，支持供应商多次覆盖上传更新文件，保障资料准确性，每次上传留存版本记录。</w:t>
      </w:r>
    </w:p>
    <w:p w14:paraId="61B7A33C"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截止控制</w:t>
      </w:r>
      <w:r>
        <w:t>：到达采购截止时间后，系统自动禁止文件提交、上传操作权限，锁定采购资料，确保所有供应商提交时效一致。</w:t>
      </w:r>
    </w:p>
    <w:p w14:paraId="226D771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37" w:name="_Toc12008"/>
      <w:r>
        <w:t>权限管控</w:t>
      </w:r>
      <w:bookmarkEnd w:id="37"/>
    </w:p>
    <w:p w14:paraId="5D51D676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支持采购文件保密管控，评审正式开始前，严格管控文件查看、下载权限，无授权人员无法访问采购文件，</w:t>
      </w:r>
      <w:r>
        <w:rPr>
          <w:rFonts w:hint="eastAsia"/>
          <w:lang w:val="en-US" w:eastAsia="zh-CN"/>
        </w:rPr>
        <w:t>系统检测人员</w:t>
      </w:r>
      <w:r>
        <w:t>下载文件</w:t>
      </w:r>
      <w:r>
        <w:rPr>
          <w:rFonts w:hint="eastAsia"/>
          <w:lang w:val="en-US" w:eastAsia="zh-CN"/>
        </w:rPr>
        <w:t>时，自动</w:t>
      </w:r>
      <w:r>
        <w:t>留存操作记录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按“某人于某时通过某客户端下载某文件是否成功”的规则记录</w:t>
      </w:r>
      <w:r>
        <w:t>，防范评审前信息泄露风险。</w:t>
      </w:r>
    </w:p>
    <w:p w14:paraId="3895064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38" w:name="_Toc9155"/>
      <w:r>
        <w:t>采购查询</w:t>
      </w:r>
      <w:bookmarkEnd w:id="38"/>
    </w:p>
    <w:p w14:paraId="2CE14ED7">
      <w:pPr>
        <w:keepNext w:val="0"/>
        <w:keepLines w:val="0"/>
        <w:pageBreakBefore w:val="0"/>
        <w:widowControl/>
        <w:numPr>
          <w:ilvl w:val="0"/>
          <w:numId w:val="1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采购查询</w:t>
      </w:r>
      <w:r>
        <w:t>：后台支持查询所有供应商项目采购参与情况、资料提交情况，可按项目、供应商维度筛选查看。</w:t>
      </w:r>
    </w:p>
    <w:p w14:paraId="7451A196">
      <w:pPr>
        <w:keepNext w:val="0"/>
        <w:keepLines w:val="0"/>
        <w:pageBreakBefore w:val="0"/>
        <w:widowControl/>
        <w:numPr>
          <w:ilvl w:val="0"/>
          <w:numId w:val="1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文件完整性检查</w:t>
      </w:r>
      <w:r>
        <w:t>：系统自动校验供应商必备采购文件提交完整性，缺失文件实时提醒供应商与管理员。支持采购进度可视化看板，直观展示各供应商提交状态。</w:t>
      </w:r>
    </w:p>
    <w:p w14:paraId="433FA48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39" w:name="_Toc2572"/>
      <w:r>
        <w:t>评审准备管理</w:t>
      </w:r>
      <w:bookmarkEnd w:id="39"/>
    </w:p>
    <w:p w14:paraId="2534DF4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40" w:name="_Toc21460"/>
      <w:r>
        <w:t>评审签到</w:t>
      </w:r>
      <w:bookmarkEnd w:id="40"/>
    </w:p>
    <w:p w14:paraId="36E69435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支持供应商线上签到管理，主要包含签到供应商、签到时间、签到状态、关联项目等字段；供应商可在线完成签到，签到数据实时记录、自动统计，作为评审参与依据。支持签到截止时间配置，超时禁止签到。支持签到数据展示，自动统计签到率，直观呈现到场情况。</w:t>
      </w:r>
    </w:p>
    <w:p w14:paraId="2696942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41" w:name="_Toc24319"/>
      <w:r>
        <w:t>评审流程</w:t>
      </w:r>
      <w:bookmarkEnd w:id="41"/>
    </w:p>
    <w:p w14:paraId="2E707128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支持评审流程统一管控，采购方管理人员可分步推进评审环节，一键控制评审流程启停、节点流转。支持流程暂停、继续、跳转等操作，操作全程留痕，适配各类评审现场的灵活管控需求。</w:t>
      </w:r>
    </w:p>
    <w:p w14:paraId="64190CA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42" w:name="_Toc10410"/>
      <w:r>
        <w:t>评审展示</w:t>
      </w:r>
      <w:bookmarkEnd w:id="42"/>
    </w:p>
    <w:p w14:paraId="714DFCFD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评审过程中实时展示供应商信息、报价数据、评审进度、专家到位情况等核心信息，支持大屏展示模式，数据自动刷新，满足评审现场公开透明展示需求。</w:t>
      </w:r>
    </w:p>
    <w:p w14:paraId="75B67CB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43" w:name="_Toc23574"/>
      <w:r>
        <w:t>开审记录</w:t>
      </w:r>
      <w:bookmarkEnd w:id="43"/>
    </w:p>
    <w:p w14:paraId="32C9F4F1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支持开审过程全记录，留存开审操作过程、流程节点记录，主要包含操作人、操作时间、节点名称、操作内容等字段；支持后续按项目、时间维度查询追溯，保障评审过程可审计。</w:t>
      </w:r>
    </w:p>
    <w:p w14:paraId="18B9627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44" w:name="_Toc23226"/>
      <w:r>
        <w:t>评审校验</w:t>
      </w:r>
      <w:bookmarkEnd w:id="44"/>
    </w:p>
    <w:p w14:paraId="6B77C365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正式开审前，系统自动执行前置条件校验，校验范围包含所有供应商评审文件提交完整性、专家抽取完成情况、签到完成情况；校验项全部通过后方可启动评审，任意一项校验不通过则锁定评审启动按钮，禁止启动评审流程，须整改完成后重新校验，保障评审前置条件合规。</w:t>
      </w:r>
    </w:p>
    <w:p w14:paraId="07FE0AB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45" w:name="_Toc30082"/>
      <w:r>
        <w:t>专家库管理</w:t>
      </w:r>
      <w:bookmarkEnd w:id="45"/>
    </w:p>
    <w:p w14:paraId="2BAF00F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46" w:name="_Toc31937"/>
      <w:r>
        <w:t>专家档案</w:t>
      </w:r>
      <w:bookmarkEnd w:id="46"/>
    </w:p>
    <w:p w14:paraId="21338F8D">
      <w:pPr>
        <w:keepNext w:val="0"/>
        <w:keepLines w:val="0"/>
        <w:pageBreakBefore w:val="0"/>
        <w:widowControl/>
        <w:numPr>
          <w:ilvl w:val="0"/>
          <w:numId w:val="1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专家录入</w:t>
      </w:r>
      <w:r>
        <w:t>：支持专家档案库建设管理，主要包含专家姓名、性别、工作单位、专业领域、从业资质、联系方式、专家类型等字段；支持后台录入专家基础资料，支持专家信息批量导入，提高建库效率。</w:t>
      </w:r>
    </w:p>
    <w:p w14:paraId="4C97EF19">
      <w:pPr>
        <w:keepNext w:val="0"/>
        <w:keepLines w:val="0"/>
        <w:pageBreakBefore w:val="0"/>
        <w:widowControl/>
        <w:numPr>
          <w:ilvl w:val="0"/>
          <w:numId w:val="1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校内外标识</w:t>
      </w:r>
      <w:r>
        <w:t>：支持区分校内、校外专家类型，实现专家分类管理。支持专家资质有效期管理，到期自动预警提醒更新，保障专家资质持续有效。</w:t>
      </w:r>
    </w:p>
    <w:p w14:paraId="4EEF5FA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47" w:name="_Toc19759"/>
      <w:r>
        <w:t>回避管理</w:t>
      </w:r>
      <w:bookmarkEnd w:id="47"/>
    </w:p>
    <w:p w14:paraId="7556E79F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支持专家回避规则配置管理，可设置供应商回避、单位回避、个人关联回避条件，主要包含回避类型、回避对象、生效范围等字段。支持回避名单库维护，抽取时自动匹配回避规则，命中回避的专家自动排除，规避评审利益关联风险。</w:t>
      </w:r>
    </w:p>
    <w:p w14:paraId="0A06F41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48" w:name="_Toc8849"/>
      <w:r>
        <w:t>专家抽取</w:t>
      </w:r>
      <w:bookmarkEnd w:id="48"/>
    </w:p>
    <w:p w14:paraId="01536A31">
      <w:pPr>
        <w:keepNext w:val="0"/>
        <w:keepLines w:val="0"/>
        <w:pageBreakBefore w:val="0"/>
        <w:widowControl/>
        <w:numPr>
          <w:ilvl w:val="0"/>
          <w:numId w:val="1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随机抽取</w:t>
      </w:r>
      <w:r>
        <w:t>：采用定制化公平随机抽取算法，支持按预设专家人数、专业类型随机抽取评审专家，抽取过程自动化、无人工干预，抽取算法公平可追溯。</w:t>
      </w:r>
    </w:p>
    <w:p w14:paraId="4026F4C5">
      <w:pPr>
        <w:keepNext w:val="0"/>
        <w:keepLines w:val="0"/>
        <w:pageBreakBefore w:val="0"/>
        <w:widowControl/>
        <w:numPr>
          <w:ilvl w:val="0"/>
          <w:numId w:val="1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补充抽取</w:t>
      </w:r>
      <w:r>
        <w:t>：支持抽取失败、专家回避、专家缺席场景下的补抽专家功能，补抽同样遵循回避规则。支持按专业配比抽取，可配置不同专业领域的专家人数比例；抽取基础规则配置化管理，灵活调整。</w:t>
      </w:r>
    </w:p>
    <w:p w14:paraId="1C9E010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49" w:name="_Toc8925"/>
      <w:r>
        <w:t>抽取留痕</w:t>
      </w:r>
      <w:bookmarkEnd w:id="49"/>
    </w:p>
    <w:p w14:paraId="414401B6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支持专家抽取全流程留痕管理，完整保存专家抽取批次、抽取规则、抽取时间、抽取结果、操作人记录，全程可审计追溯，记录不可删除、不可修改。支持抽取过程回放，支持抽取报告一键导出，满足合规审计要求。</w:t>
      </w:r>
    </w:p>
    <w:p w14:paraId="0DB58C1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50" w:name="_Toc25430"/>
      <w:r>
        <w:t>评审管理</w:t>
      </w:r>
      <w:bookmarkEnd w:id="50"/>
    </w:p>
    <w:p w14:paraId="2AB36C9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51" w:name="_Toc21954"/>
      <w:r>
        <w:t>评审室</w:t>
      </w:r>
      <w:bookmarkEnd w:id="51"/>
    </w:p>
    <w:p w14:paraId="3CD0FD7C">
      <w:pPr>
        <w:keepNext w:val="0"/>
        <w:keepLines w:val="0"/>
        <w:pageBreakBefore w:val="0"/>
        <w:widowControl/>
        <w:numPr>
          <w:ilvl w:val="0"/>
          <w:numId w:val="1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评审任务列表</w:t>
      </w:r>
      <w:r>
        <w:t>：支持专家端评审任务管理，专家可查看个人待评审项目、评审任务进度、评审截止时间，支持按状态筛选任务，清晰呈现个人评审工作。</w:t>
      </w:r>
    </w:p>
    <w:p w14:paraId="634EA46F">
      <w:pPr>
        <w:keepNext w:val="0"/>
        <w:keepLines w:val="0"/>
        <w:pageBreakBefore w:val="0"/>
        <w:widowControl/>
        <w:numPr>
          <w:ilvl w:val="0"/>
          <w:numId w:val="1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文件查看</w:t>
      </w:r>
      <w:r>
        <w:t>：评审周期内，支持专家在线查看项目评审资料文件，支持在线批注、重点标记。专家评审空间相互隔离，不可查看其他专家的评分与意见，保障独立评审。</w:t>
      </w:r>
    </w:p>
    <w:p w14:paraId="5C14A17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52" w:name="_Toc15142"/>
      <w:r>
        <w:t>评分模板</w:t>
      </w:r>
      <w:bookmarkEnd w:id="52"/>
    </w:p>
    <w:p w14:paraId="5ED37668">
      <w:pPr>
        <w:keepNext w:val="0"/>
        <w:keepLines w:val="0"/>
        <w:pageBreakBefore w:val="0"/>
        <w:widowControl/>
        <w:numPr>
          <w:ilvl w:val="0"/>
          <w:numId w:val="1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模板管理</w:t>
      </w:r>
      <w:r>
        <w:t>：支持多套评分模板管理，主要包含模板名称、适用项目类型、状态、创建时间等字段；具备模板新增、修改、启用、停用功能，适配不同项目评审标准。</w:t>
      </w:r>
    </w:p>
    <w:p w14:paraId="63788FB5">
      <w:pPr>
        <w:keepNext w:val="0"/>
        <w:keepLines w:val="0"/>
        <w:pageBreakBefore w:val="0"/>
        <w:widowControl/>
        <w:numPr>
          <w:ilvl w:val="0"/>
          <w:numId w:val="1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评分项配置</w:t>
      </w:r>
      <w:r>
        <w:t>：支持自定义主观评分项、客观评分项、报价评分项，可配置单项分值、评分说明、评分区间，评分项可拖拽排序。</w:t>
      </w:r>
    </w:p>
    <w:p w14:paraId="6796C518">
      <w:pPr>
        <w:keepNext w:val="0"/>
        <w:keepLines w:val="0"/>
        <w:pageBreakBefore w:val="0"/>
        <w:widowControl/>
        <w:numPr>
          <w:ilvl w:val="0"/>
          <w:numId w:val="1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去高去低配置</w:t>
      </w:r>
      <w:r>
        <w:t>：支持项目级的去高去低评分开关选择功能，可配置去除最高分、最低分数量，适配不同评审规则。</w:t>
      </w:r>
    </w:p>
    <w:p w14:paraId="74453F47">
      <w:pPr>
        <w:keepNext w:val="0"/>
        <w:keepLines w:val="0"/>
        <w:pageBreakBefore w:val="0"/>
        <w:widowControl/>
        <w:numPr>
          <w:ilvl w:val="0"/>
          <w:numId w:val="1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价格公式配置</w:t>
      </w:r>
      <w:r>
        <w:t>：支持基准价计算、报价、权重分值等公式自定义配置，报价分自动计算，减少人工计算误差。</w:t>
      </w:r>
    </w:p>
    <w:p w14:paraId="24503B9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53" w:name="_Toc3186"/>
      <w:r>
        <w:t>专家评分</w:t>
      </w:r>
      <w:bookmarkEnd w:id="53"/>
    </w:p>
    <w:p w14:paraId="18C776DA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支持专家独立在线评分，可填报评分、填写评审意见，打分过程相互隔离、互不干扰。支持评分暂存、提交，提交后不可修改；支持评分异常预警，专家分差超过阈值自动提醒复核，保障评分客观合理。</w:t>
      </w:r>
    </w:p>
    <w:p w14:paraId="7B57E9F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54" w:name="_Toc11727"/>
      <w:r>
        <w:t>成绩汇总</w:t>
      </w:r>
      <w:bookmarkEnd w:id="54"/>
    </w:p>
    <w:p w14:paraId="2F08E41F">
      <w:pPr>
        <w:keepNext w:val="0"/>
        <w:keepLines w:val="0"/>
        <w:pageBreakBefore w:val="0"/>
        <w:widowControl/>
        <w:numPr>
          <w:ilvl w:val="0"/>
          <w:numId w:val="1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平均分汇总</w:t>
      </w:r>
      <w:r>
        <w:t>：支持系统自动计算多专家评分平均分，计算过程无人工干预，结果准确可追溯。</w:t>
      </w:r>
    </w:p>
    <w:p w14:paraId="4AB8DCD6">
      <w:pPr>
        <w:keepNext w:val="0"/>
        <w:keepLines w:val="0"/>
        <w:pageBreakBefore w:val="0"/>
        <w:widowControl/>
        <w:numPr>
          <w:ilvl w:val="0"/>
          <w:numId w:val="1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去高低处理</w:t>
      </w:r>
      <w:r>
        <w:t>：支持根据项目配置的开关功能自动执行去高去低处理，自动剔除指定数量的最高分与最低分。</w:t>
      </w:r>
    </w:p>
    <w:p w14:paraId="5132BE0D">
      <w:pPr>
        <w:keepNext w:val="0"/>
        <w:keepLines w:val="0"/>
        <w:pageBreakBefore w:val="0"/>
        <w:widowControl/>
        <w:numPr>
          <w:ilvl w:val="0"/>
          <w:numId w:val="1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排名生成</w:t>
      </w:r>
      <w:r>
        <w:t>：根据最终汇总得分自动生成供应商排名，数据实时精准统计。支持评分明细溯源，可查看每位专家的各项打分详情。</w:t>
      </w:r>
    </w:p>
    <w:p w14:paraId="19E0244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55" w:name="_Toc31978"/>
      <w:r>
        <w:t>结果输出</w:t>
      </w:r>
      <w:bookmarkEnd w:id="55"/>
    </w:p>
    <w:p w14:paraId="2A282B19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支持管理人员、授权人员查看评审评分明细、总分汇总、排名结果，支持数据导出留存，支持评审报告自动生成，满足评审结果归档、上报与审计需求。</w:t>
      </w:r>
    </w:p>
    <w:p w14:paraId="47E5969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56" w:name="_Toc23863"/>
      <w:r>
        <w:t>定审管理</w:t>
      </w:r>
      <w:bookmarkEnd w:id="56"/>
    </w:p>
    <w:p w14:paraId="17AAC74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57" w:name="_Toc24034"/>
      <w:r>
        <w:t>定审审批</w:t>
      </w:r>
      <w:bookmarkEnd w:id="57"/>
    </w:p>
    <w:p w14:paraId="184BE726">
      <w:pPr>
        <w:keepNext w:val="0"/>
        <w:keepLines w:val="0"/>
        <w:pageBreakBefore w:val="0"/>
        <w:widowControl/>
        <w:numPr>
          <w:ilvl w:val="0"/>
          <w:numId w:val="1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定审流程发起</w:t>
      </w:r>
      <w:r>
        <w:t>：支持专人发起项目定审审批流程，提交定审申请与相关材料，自动带入项目评审结果数据。</w:t>
      </w:r>
    </w:p>
    <w:p w14:paraId="09FE0900">
      <w:pPr>
        <w:keepNext w:val="0"/>
        <w:keepLines w:val="0"/>
        <w:pageBreakBefore w:val="0"/>
        <w:widowControl/>
        <w:numPr>
          <w:ilvl w:val="0"/>
          <w:numId w:val="1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定审审批流转</w:t>
      </w:r>
      <w:r>
        <w:t>：支持多级审批流转，具备审批通过、驳回、重新评审功能，审批意见、审批人、审批时间全程留痕，定审全流程可追溯。</w:t>
      </w:r>
    </w:p>
    <w:p w14:paraId="0F4A1E3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58" w:name="_Toc6111"/>
      <w:r>
        <w:t>定审处理</w:t>
      </w:r>
      <w:bookmarkEnd w:id="58"/>
    </w:p>
    <w:p w14:paraId="39257235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支持人工调整评审结果，修改操作必须填写调整原因，系统自动留存修改记录、操作人、审批痕迹、操作时间等关键信息，保证调整可追溯、可审计。结果调整须双人复核，保障结果公正合规。</w:t>
      </w:r>
    </w:p>
    <w:p w14:paraId="627ADF8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59" w:name="_Toc5083"/>
      <w:r>
        <w:t>结果发布</w:t>
      </w:r>
      <w:bookmarkEnd w:id="59"/>
    </w:p>
    <w:p w14:paraId="00165CB0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定审审批完成后，支持一键确认发布评审结果，同步更新前台公示公告，完成项目闭环。支持公示期配置，公示期满自动归档并生成最终结果文件。</w:t>
      </w:r>
    </w:p>
    <w:p w14:paraId="7C776DF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60" w:name="_Toc18493"/>
      <w:r>
        <w:t>供应商门户</w:t>
      </w:r>
      <w:bookmarkEnd w:id="60"/>
    </w:p>
    <w:p w14:paraId="27F2CA2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61" w:name="_Toc32648"/>
      <w:r>
        <w:t>首页展示</w:t>
      </w:r>
      <w:bookmarkEnd w:id="61"/>
    </w:p>
    <w:p w14:paraId="3BFAFB72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供应商门户首页集中展示最新采购公告、待办业务提醒、参与项目进度，数据实时更新。支持首页模块自定义布局，待办事项红点提醒，供应商登录后可快速获取核心信息与待办工作。</w:t>
      </w:r>
    </w:p>
    <w:p w14:paraId="0C0E321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62" w:name="_Toc13312"/>
      <w:r>
        <w:t>项目查询</w:t>
      </w:r>
      <w:bookmarkEnd w:id="62"/>
    </w:p>
    <w:p w14:paraId="4C001EAE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支持供应商查询已报名项目状态、采购项目进展、评审结果，全流程进度可视化展示。每个流程节点的状态、时间、办理人清晰展示，关键节点自动推送提醒，供应商可实时掌握项目动态。</w:t>
      </w:r>
    </w:p>
    <w:p w14:paraId="053325E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63" w:name="_Toc16510"/>
      <w:r>
        <w:t>消息查看</w:t>
      </w:r>
      <w:bookmarkEnd w:id="63"/>
    </w:p>
    <w:p w14:paraId="6AF5AB7B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供应商端支持查看站内系统消息，接收审核结果、业务截止、评审安排等各类提醒通知。支持消息分类管理，支持历史消息查询，保障业务通知及时触达。</w:t>
      </w:r>
    </w:p>
    <w:p w14:paraId="10E44B8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64" w:name="_Toc12937"/>
      <w:r>
        <w:t>系统安全与性能要求</w:t>
      </w:r>
      <w:bookmarkEnd w:id="64"/>
    </w:p>
    <w:p w14:paraId="3521520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65" w:name="_Toc5703"/>
      <w:r>
        <w:t>数据安全</w:t>
      </w:r>
      <w:bookmarkEnd w:id="65"/>
    </w:p>
    <w:p w14:paraId="1B7AE790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核心业务数据加密存储，用户账号、密码采用加密算法处理，支持定期自动数据备份、异常数据预警，防止数据泄露、丢失、篡改。支持数据脱敏展示，敏感信息（联系方式、报价等）非授权用户不可查看完整内容，保障数据安全。</w:t>
      </w:r>
    </w:p>
    <w:p w14:paraId="16A88F1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66" w:name="_Toc31773"/>
      <w:r>
        <w:t>访问安全</w:t>
      </w:r>
      <w:bookmarkEnd w:id="66"/>
    </w:p>
    <w:p w14:paraId="4F1267C0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支持登录异常监控、高频访问拦截，杜绝非法入侵、越权操作，所有操作全程日志审计。具备防 SQL 注入、防 XSS 攻击、防 CSRF 攻击等常见网络攻击防护能力，保障系统访问安全。</w:t>
      </w:r>
    </w:p>
    <w:p w14:paraId="34409B5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67" w:name="_Toc7003"/>
      <w:r>
        <w:t>并发性能</w:t>
      </w:r>
      <w:bookmarkEnd w:id="67"/>
    </w:p>
    <w:p w14:paraId="78D7D5A8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支持不少于 500 并发用户同时在线操作，可满足不少于 200 家供应商同时报名、文件上传，不少于 50 位专家同时评审场景，高并发下系统运行稳定无卡顿。</w:t>
      </w:r>
    </w:p>
    <w:p w14:paraId="33816D4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68" w:name="_Toc32658"/>
      <w:r>
        <w:t>响应性能</w:t>
      </w:r>
      <w:bookmarkEnd w:id="68"/>
    </w:p>
    <w:p w14:paraId="1C71C7A7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</w:pPr>
      <w:r>
        <w:t>普通页面平均加载时间小于 1 秒，最大不超过 5 秒；查询页面平均响应时间小于 3 秒，最大不超过 30 秒。系统保证 7×24 小时连续运行，支持负载均衡，具备良好的可扩展性。</w:t>
      </w:r>
    </w:p>
    <w:p w14:paraId="17DA9C3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textAlignment w:val="auto"/>
      </w:pPr>
      <w:bookmarkStart w:id="69" w:name="_Toc12422"/>
      <w:r>
        <w:t>部署与系统集成要求</w:t>
      </w:r>
      <w:bookmarkEnd w:id="69"/>
    </w:p>
    <w:p w14:paraId="56BA77EE">
      <w:pPr>
        <w:keepNext w:val="0"/>
        <w:keepLines w:val="0"/>
        <w:pageBreakBefore w:val="0"/>
        <w:widowControl/>
        <w:numPr>
          <w:ilvl w:val="0"/>
          <w:numId w:val="2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服务器</w:t>
      </w:r>
      <w:r>
        <w:t>：支持国产化服务器与主流 X86 架构服务器，可根据业务规模选择硬件配置。</w:t>
      </w:r>
    </w:p>
    <w:p w14:paraId="52882C6F">
      <w:pPr>
        <w:keepNext w:val="0"/>
        <w:keepLines w:val="0"/>
        <w:pageBreakBefore w:val="0"/>
        <w:widowControl/>
        <w:numPr>
          <w:ilvl w:val="0"/>
          <w:numId w:val="2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操作系统</w:t>
      </w:r>
      <w:r>
        <w:t>：适配 CentOS 7+、Windows Server 2016 + 等主流服务器操作系统，保障系统部署兼容性。</w:t>
      </w:r>
    </w:p>
    <w:p w14:paraId="6EF2C69D">
      <w:pPr>
        <w:keepNext w:val="0"/>
        <w:keepLines w:val="0"/>
        <w:pageBreakBefore w:val="0"/>
        <w:widowControl/>
        <w:numPr>
          <w:ilvl w:val="0"/>
          <w:numId w:val="2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数据库</w:t>
      </w:r>
      <w:r>
        <w:t>：支持 Oracle 11g+、MySQL 5.7+/8.0 等主流关系型数据库，保障核心业务数据存储稳定可靠。</w:t>
      </w:r>
    </w:p>
    <w:p w14:paraId="635FD79B">
      <w:pPr>
        <w:keepNext w:val="0"/>
        <w:keepLines w:val="0"/>
        <w:pageBreakBefore w:val="0"/>
        <w:widowControl/>
        <w:numPr>
          <w:ilvl w:val="0"/>
          <w:numId w:val="2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Style w:val="17"/>
        </w:rPr>
        <w:t>中间件</w:t>
      </w:r>
      <w:r>
        <w:t>：支持 Tomcat、Nginx 等主流开源中间件，适配常规部署与集群部署模式。</w:t>
      </w:r>
    </w:p>
    <w:p w14:paraId="69D7B64E">
      <w:pPr>
        <w:keepNext w:val="0"/>
        <w:keepLines w:val="0"/>
        <w:pageBreakBefore w:val="0"/>
        <w:widowControl/>
        <w:numPr>
          <w:ilvl w:val="0"/>
          <w:numId w:val="2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</w:pPr>
      <w:r>
        <w:rPr>
          <w:rFonts w:hint="eastAsia"/>
          <w:b/>
          <w:bCs/>
        </w:rPr>
        <w:t>系统集成</w:t>
      </w:r>
      <w:r>
        <w:t>：</w:t>
      </w:r>
      <w:r>
        <w:rPr>
          <w:rFonts w:hint="eastAsia"/>
          <w:lang w:val="en-US" w:eastAsia="zh-CN"/>
        </w:rPr>
        <w:t>系统预留第三方系统对接接口，支持与统一身份认证系统集成，提供接口文档与技术支持。</w:t>
      </w:r>
    </w:p>
    <w:p w14:paraId="522102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cs="仿宋"/>
          <w:b/>
          <w:bCs w:val="0"/>
          <w:sz w:val="24"/>
          <w:szCs w:val="24"/>
          <w:lang w:val="en-US" w:eastAsia="zh-CN"/>
        </w:rPr>
      </w:pPr>
      <w:r>
        <w:rPr>
          <w:rFonts w:hint="eastAsia" w:cs="仿宋"/>
          <w:b/>
          <w:bCs w:val="0"/>
          <w:sz w:val="24"/>
          <w:szCs w:val="24"/>
          <w:lang w:val="en-US" w:eastAsia="zh-CN"/>
        </w:rPr>
        <w:t>二</w:t>
      </w:r>
      <w:r>
        <w:rPr>
          <w:rFonts w:hint="eastAsia" w:ascii="仿宋" w:hAnsi="仿宋" w:eastAsia="仿宋" w:cs="仿宋"/>
          <w:b/>
          <w:bCs w:val="0"/>
          <w:sz w:val="24"/>
          <w:szCs w:val="24"/>
          <w:lang w:val="en-US" w:eastAsia="zh-CN"/>
        </w:rPr>
        <w:t>、</w:t>
      </w:r>
      <w:r>
        <w:rPr>
          <w:rFonts w:hint="eastAsia" w:cs="仿宋"/>
          <w:b/>
          <w:bCs w:val="0"/>
          <w:sz w:val="24"/>
          <w:szCs w:val="24"/>
          <w:lang w:val="en-US" w:eastAsia="zh-CN"/>
        </w:rPr>
        <w:t>分项清单</w:t>
      </w:r>
    </w:p>
    <w:tbl>
      <w:tblPr>
        <w:tblStyle w:val="14"/>
        <w:tblW w:w="81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"/>
        <w:gridCol w:w="4577"/>
        <w:gridCol w:w="1273"/>
        <w:gridCol w:w="1337"/>
      </w:tblGrid>
      <w:tr w14:paraId="78E6C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98" w:type="dxa"/>
            <w:noWrap w:val="0"/>
            <w:vAlign w:val="center"/>
          </w:tcPr>
          <w:p w14:paraId="678F2A98">
            <w:pPr>
              <w:spacing w:line="360" w:lineRule="auto"/>
              <w:ind w:left="0" w:leftChars="0" w:firstLine="0" w:firstLineChars="0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序号</w:t>
            </w:r>
          </w:p>
        </w:tc>
        <w:tc>
          <w:tcPr>
            <w:tcW w:w="4577" w:type="dxa"/>
            <w:noWrap w:val="0"/>
            <w:vAlign w:val="center"/>
          </w:tcPr>
          <w:p w14:paraId="5E9910F8"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  <w:lang w:val="en-US" w:eastAsia="zh-CN"/>
              </w:rPr>
              <w:t>服务</w:t>
            </w:r>
            <w:r>
              <w:rPr>
                <w:rFonts w:hint="eastAsia" w:ascii="仿宋" w:hAnsi="仿宋" w:eastAsia="仿宋"/>
                <w:b/>
                <w:sz w:val="24"/>
              </w:rPr>
              <w:t>名称</w:t>
            </w:r>
          </w:p>
        </w:tc>
        <w:tc>
          <w:tcPr>
            <w:tcW w:w="1273" w:type="dxa"/>
            <w:noWrap w:val="0"/>
            <w:vAlign w:val="center"/>
          </w:tcPr>
          <w:p w14:paraId="49FF4922">
            <w:pPr>
              <w:spacing w:line="360" w:lineRule="auto"/>
              <w:ind w:left="0" w:leftChars="0" w:firstLine="0" w:firstLineChars="0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数量</w:t>
            </w:r>
          </w:p>
        </w:tc>
        <w:tc>
          <w:tcPr>
            <w:tcW w:w="1337" w:type="dxa"/>
            <w:noWrap w:val="0"/>
            <w:vAlign w:val="center"/>
          </w:tcPr>
          <w:p w14:paraId="475E1681">
            <w:pPr>
              <w:spacing w:line="360" w:lineRule="auto"/>
              <w:ind w:left="0" w:leftChars="0" w:firstLine="0" w:firstLineChars="0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  <w:lang w:val="en-US" w:eastAsia="zh-CN"/>
              </w:rPr>
              <w:t>单位</w:t>
            </w:r>
          </w:p>
        </w:tc>
      </w:tr>
      <w:tr w14:paraId="668AA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98" w:type="dxa"/>
            <w:noWrap w:val="0"/>
            <w:vAlign w:val="center"/>
          </w:tcPr>
          <w:p w14:paraId="39C0C5C0">
            <w:pPr>
              <w:spacing w:line="360" w:lineRule="auto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4577" w:type="dxa"/>
            <w:noWrap w:val="0"/>
            <w:vAlign w:val="center"/>
          </w:tcPr>
          <w:p w14:paraId="32FF2455">
            <w:pPr>
              <w:spacing w:line="360" w:lineRule="auto"/>
              <w:ind w:left="0" w:leftChars="0" w:firstLine="0" w:firstLineChars="0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采购电子评审管理</w:t>
            </w:r>
          </w:p>
        </w:tc>
        <w:tc>
          <w:tcPr>
            <w:tcW w:w="1273" w:type="dxa"/>
            <w:noWrap w:val="0"/>
            <w:vAlign w:val="center"/>
          </w:tcPr>
          <w:p w14:paraId="662A9BB0">
            <w:pPr>
              <w:spacing w:line="360" w:lineRule="auto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1</w:t>
            </w:r>
          </w:p>
        </w:tc>
        <w:tc>
          <w:tcPr>
            <w:tcW w:w="1337" w:type="dxa"/>
            <w:noWrap w:val="0"/>
            <w:vAlign w:val="center"/>
          </w:tcPr>
          <w:p w14:paraId="6E5094C1">
            <w:pPr>
              <w:spacing w:line="360" w:lineRule="auto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项</w:t>
            </w:r>
          </w:p>
        </w:tc>
      </w:tr>
      <w:tr w14:paraId="056EC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98" w:type="dxa"/>
            <w:noWrap w:val="0"/>
            <w:vAlign w:val="center"/>
          </w:tcPr>
          <w:p w14:paraId="31AA9D29">
            <w:pPr>
              <w:spacing w:line="360" w:lineRule="auto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</w:t>
            </w:r>
          </w:p>
        </w:tc>
        <w:tc>
          <w:tcPr>
            <w:tcW w:w="4577" w:type="dxa"/>
            <w:noWrap w:val="0"/>
            <w:vAlign w:val="center"/>
          </w:tcPr>
          <w:p w14:paraId="72079E55">
            <w:pPr>
              <w:spacing w:line="360" w:lineRule="auto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供应商管理</w:t>
            </w:r>
          </w:p>
        </w:tc>
        <w:tc>
          <w:tcPr>
            <w:tcW w:w="1273" w:type="dxa"/>
            <w:noWrap w:val="0"/>
            <w:vAlign w:val="center"/>
          </w:tcPr>
          <w:p w14:paraId="681EA228">
            <w:pPr>
              <w:spacing w:line="360" w:lineRule="auto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1</w:t>
            </w:r>
          </w:p>
        </w:tc>
        <w:tc>
          <w:tcPr>
            <w:tcW w:w="1337" w:type="dxa"/>
            <w:noWrap w:val="0"/>
            <w:vAlign w:val="center"/>
          </w:tcPr>
          <w:p w14:paraId="3CDCCE43">
            <w:pPr>
              <w:spacing w:line="360" w:lineRule="auto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项</w:t>
            </w:r>
          </w:p>
        </w:tc>
      </w:tr>
      <w:tr w14:paraId="24155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98" w:type="dxa"/>
            <w:noWrap w:val="0"/>
            <w:vAlign w:val="center"/>
          </w:tcPr>
          <w:p w14:paraId="647A368F">
            <w:pPr>
              <w:spacing w:line="360" w:lineRule="auto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3</w:t>
            </w:r>
          </w:p>
        </w:tc>
        <w:tc>
          <w:tcPr>
            <w:tcW w:w="4577" w:type="dxa"/>
            <w:noWrap w:val="0"/>
            <w:vAlign w:val="center"/>
          </w:tcPr>
          <w:p w14:paraId="56CE1D79">
            <w:pPr>
              <w:spacing w:line="360" w:lineRule="auto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查询统计（项目情况）</w:t>
            </w:r>
          </w:p>
        </w:tc>
        <w:tc>
          <w:tcPr>
            <w:tcW w:w="1273" w:type="dxa"/>
            <w:noWrap w:val="0"/>
            <w:vAlign w:val="center"/>
          </w:tcPr>
          <w:p w14:paraId="3F010765">
            <w:pPr>
              <w:spacing w:line="360" w:lineRule="auto"/>
              <w:ind w:left="0" w:leftChars="0" w:firstLine="0" w:firstLineChars="0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1</w:t>
            </w:r>
          </w:p>
        </w:tc>
        <w:tc>
          <w:tcPr>
            <w:tcW w:w="1337" w:type="dxa"/>
            <w:noWrap w:val="0"/>
            <w:vAlign w:val="center"/>
          </w:tcPr>
          <w:p w14:paraId="6619683A">
            <w:pPr>
              <w:spacing w:line="360" w:lineRule="auto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项</w:t>
            </w:r>
          </w:p>
        </w:tc>
      </w:tr>
      <w:tr w14:paraId="0116B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98" w:type="dxa"/>
            <w:noWrap w:val="0"/>
            <w:vAlign w:val="center"/>
          </w:tcPr>
          <w:p w14:paraId="3DB27B71">
            <w:pPr>
              <w:spacing w:line="360" w:lineRule="auto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4</w:t>
            </w:r>
          </w:p>
        </w:tc>
        <w:tc>
          <w:tcPr>
            <w:tcW w:w="4577" w:type="dxa"/>
            <w:noWrap w:val="0"/>
            <w:vAlign w:val="center"/>
          </w:tcPr>
          <w:p w14:paraId="48856BE5">
            <w:pPr>
              <w:spacing w:line="360" w:lineRule="auto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系统支撑平台</w:t>
            </w:r>
          </w:p>
        </w:tc>
        <w:tc>
          <w:tcPr>
            <w:tcW w:w="1273" w:type="dxa"/>
            <w:noWrap w:val="0"/>
            <w:vAlign w:val="center"/>
          </w:tcPr>
          <w:p w14:paraId="50579105">
            <w:pPr>
              <w:spacing w:line="360" w:lineRule="auto"/>
              <w:ind w:left="0" w:leftChars="0" w:firstLine="0" w:firstLineChars="0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1</w:t>
            </w:r>
          </w:p>
        </w:tc>
        <w:tc>
          <w:tcPr>
            <w:tcW w:w="1337" w:type="dxa"/>
            <w:noWrap w:val="0"/>
            <w:vAlign w:val="center"/>
          </w:tcPr>
          <w:p w14:paraId="19AA4299">
            <w:pPr>
              <w:spacing w:line="360" w:lineRule="auto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项</w:t>
            </w:r>
          </w:p>
        </w:tc>
      </w:tr>
      <w:tr w14:paraId="7FB1D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98" w:type="dxa"/>
            <w:noWrap w:val="0"/>
            <w:vAlign w:val="center"/>
          </w:tcPr>
          <w:p w14:paraId="2659D66E">
            <w:pPr>
              <w:spacing w:line="360" w:lineRule="auto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5</w:t>
            </w:r>
          </w:p>
        </w:tc>
        <w:tc>
          <w:tcPr>
            <w:tcW w:w="4577" w:type="dxa"/>
            <w:noWrap w:val="0"/>
            <w:vAlign w:val="center"/>
          </w:tcPr>
          <w:p w14:paraId="7071D5CE">
            <w:pPr>
              <w:spacing w:line="360" w:lineRule="auto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相关接口对接</w:t>
            </w:r>
          </w:p>
        </w:tc>
        <w:tc>
          <w:tcPr>
            <w:tcW w:w="1273" w:type="dxa"/>
            <w:noWrap w:val="0"/>
            <w:vAlign w:val="center"/>
          </w:tcPr>
          <w:p w14:paraId="1713097F">
            <w:pPr>
              <w:spacing w:line="360" w:lineRule="auto"/>
              <w:ind w:left="0" w:leftChars="0" w:firstLine="0" w:firstLineChars="0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1</w:t>
            </w:r>
          </w:p>
        </w:tc>
        <w:tc>
          <w:tcPr>
            <w:tcW w:w="1337" w:type="dxa"/>
            <w:noWrap w:val="0"/>
            <w:vAlign w:val="center"/>
          </w:tcPr>
          <w:p w14:paraId="6A9F486D">
            <w:pPr>
              <w:spacing w:line="360" w:lineRule="auto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项</w:t>
            </w:r>
          </w:p>
        </w:tc>
      </w:tr>
      <w:tr w14:paraId="34CEE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98" w:type="dxa"/>
            <w:noWrap w:val="0"/>
            <w:vAlign w:val="center"/>
          </w:tcPr>
          <w:p w14:paraId="49269534">
            <w:pPr>
              <w:spacing w:line="360" w:lineRule="auto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6</w:t>
            </w:r>
          </w:p>
        </w:tc>
        <w:tc>
          <w:tcPr>
            <w:tcW w:w="4577" w:type="dxa"/>
            <w:noWrap w:val="0"/>
            <w:vAlign w:val="center"/>
          </w:tcPr>
          <w:p w14:paraId="0DEB9596">
            <w:pPr>
              <w:spacing w:line="360" w:lineRule="auto"/>
              <w:ind w:left="0" w:leftChars="0" w:firstLine="0" w:firstLineChars="0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运维服务</w:t>
            </w: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（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免费质保期结束后</w:t>
            </w: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）</w:t>
            </w:r>
          </w:p>
        </w:tc>
        <w:tc>
          <w:tcPr>
            <w:tcW w:w="1273" w:type="dxa"/>
            <w:noWrap w:val="0"/>
            <w:vAlign w:val="center"/>
          </w:tcPr>
          <w:p w14:paraId="23F206EF">
            <w:pPr>
              <w:spacing w:line="360" w:lineRule="auto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1</w:t>
            </w:r>
          </w:p>
        </w:tc>
        <w:tc>
          <w:tcPr>
            <w:tcW w:w="1337" w:type="dxa"/>
            <w:noWrap w:val="0"/>
            <w:vAlign w:val="center"/>
          </w:tcPr>
          <w:p w14:paraId="0EABEF9B">
            <w:pPr>
              <w:spacing w:line="360" w:lineRule="auto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项</w:t>
            </w:r>
          </w:p>
        </w:tc>
      </w:tr>
    </w:tbl>
    <w:p w14:paraId="5070F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eastAsia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说明：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cs="仿宋"/>
          <w:b/>
          <w:bCs/>
          <w:sz w:val="24"/>
          <w:szCs w:val="24"/>
          <w:highlight w:val="none"/>
          <w:lang w:val="en-US" w:eastAsia="zh-CN"/>
        </w:rPr>
        <w:t>至少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提供</w:t>
      </w:r>
      <w:r>
        <w:rPr>
          <w:rFonts w:hint="eastAsia" w:cs="仿宋"/>
          <w:b/>
          <w:bCs/>
          <w:sz w:val="24"/>
          <w:szCs w:val="24"/>
          <w:highlight w:val="none"/>
          <w:lang w:val="en-US" w:eastAsia="zh-CN"/>
        </w:rPr>
        <w:t>1年免费质保期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，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lang w:val="en-US" w:eastAsia="zh-CN"/>
        </w:rPr>
        <w:t>免费质保期结束后“运维服务费”按其金额与总报价的占比进行报价，免费质保期结束后“运维服务费”占比</w:t>
      </w:r>
      <w:r>
        <w:rPr>
          <w:rFonts w:hint="eastAsia" w:cs="仿宋"/>
          <w:b/>
          <w:bCs/>
          <w:color w:val="auto"/>
          <w:sz w:val="24"/>
          <w:szCs w:val="24"/>
          <w:highlight w:val="none"/>
          <w:lang w:val="en-US" w:eastAsia="zh-CN"/>
        </w:rPr>
        <w:t>要求不高于15%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</w:rPr>
        <w:t>。</w:t>
      </w:r>
    </w:p>
    <w:p w14:paraId="5B8FFF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" w:hAnsi="仿宋" w:eastAsia="仿宋" w:cs="仿宋"/>
          <w:b/>
          <w:bCs w:val="0"/>
          <w:sz w:val="24"/>
          <w:szCs w:val="24"/>
          <w:lang w:val="en-US" w:eastAsia="zh-CN"/>
        </w:rPr>
      </w:pPr>
      <w:r>
        <w:rPr>
          <w:rFonts w:hint="eastAsia" w:cs="仿宋"/>
          <w:b/>
          <w:bCs w:val="0"/>
          <w:sz w:val="24"/>
          <w:szCs w:val="24"/>
          <w:lang w:val="en-US" w:eastAsia="zh-CN"/>
        </w:rPr>
        <w:t>三、</w:t>
      </w:r>
      <w:r>
        <w:rPr>
          <w:rFonts w:hint="eastAsia" w:ascii="仿宋" w:hAnsi="仿宋" w:eastAsia="仿宋" w:cs="仿宋"/>
          <w:b/>
          <w:bCs w:val="0"/>
          <w:sz w:val="24"/>
          <w:szCs w:val="24"/>
          <w:lang w:val="en-US" w:eastAsia="zh-CN"/>
        </w:rPr>
        <w:t>商务要求</w:t>
      </w:r>
    </w:p>
    <w:p w14:paraId="2360243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t>1、质量保证期：</w:t>
      </w:r>
      <w:r>
        <w:rPr>
          <w:rFonts w:hint="eastAsia"/>
          <w:lang w:val="en-US" w:eastAsia="zh-CN"/>
        </w:rPr>
        <w:t>系统上线并完成整体验收合格后，提供不少于 1 年的免费质保服务。</w:t>
      </w:r>
    </w:p>
    <w:p w14:paraId="29192F3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/>
        </w:rPr>
      </w:pPr>
      <w:r>
        <w:rPr>
          <w:rFonts w:hint="eastAsia"/>
        </w:rPr>
        <w:t>2、交货时间：合同签订生效后50个</w:t>
      </w:r>
      <w:r>
        <w:rPr>
          <w:rFonts w:hint="eastAsia"/>
          <w:lang w:val="en-US" w:eastAsia="zh-CN"/>
        </w:rPr>
        <w:t>日历</w:t>
      </w:r>
      <w:r>
        <w:rPr>
          <w:rFonts w:hint="eastAsia"/>
        </w:rPr>
        <w:t>日内完成系统上线。</w:t>
      </w:r>
    </w:p>
    <w:p w14:paraId="22D0831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/>
        </w:rPr>
      </w:pPr>
      <w:r>
        <w:rPr>
          <w:rFonts w:hint="eastAsia"/>
        </w:rPr>
        <w:t>3、服务地点：</w:t>
      </w:r>
      <w:r>
        <w:rPr>
          <w:rFonts w:hint="eastAsia"/>
          <w:lang w:val="en-US" w:eastAsia="zh-CN"/>
        </w:rPr>
        <w:t>南京大学仙林校区。</w:t>
      </w:r>
    </w:p>
    <w:p w14:paraId="04BB0A8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/>
        </w:rPr>
      </w:pPr>
      <w:r>
        <w:rPr>
          <w:rFonts w:hint="eastAsia"/>
        </w:rPr>
        <w:t>4、付款方式：</w:t>
      </w:r>
    </w:p>
    <w:p w14:paraId="7965C1A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/>
        </w:rPr>
      </w:pPr>
      <w:r>
        <w:rPr>
          <w:rFonts w:hint="eastAsia"/>
        </w:rPr>
        <w:t>（1）合同签订后 20 日内，供应商须完成电子评审系统定制功能清单、本地化部署方案、数据库对接方案编制并报采购人审核确认。系统如期全部建设完成（包括所有定制功能、服务器本地化部署、数据库对接、系统调试及操作人员实操培训等全部工作）并通过采购人整体验收，采购人支付合同总金额的50%；</w:t>
      </w:r>
    </w:p>
    <w:p w14:paraId="28AC247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/>
        </w:rPr>
      </w:pPr>
      <w:r>
        <w:rPr>
          <w:rFonts w:hint="eastAsia"/>
        </w:rPr>
        <w:t>（2）自项目整体验收合格之日起3个月，系统运行正常、无重大质量问题，采购人支付至合同总金额90%；</w:t>
      </w:r>
    </w:p>
    <w:p w14:paraId="23BEC6F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/>
        </w:rPr>
      </w:pPr>
      <w:r>
        <w:rPr>
          <w:rFonts w:hint="eastAsia"/>
        </w:rPr>
        <w:t>（3）自项目整体验收合格之日起满1年，且系统运行正常、无重大质量问题后支付至合同总金额100%。</w:t>
      </w:r>
    </w:p>
    <w:p w14:paraId="034D7D1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/>
        </w:rPr>
      </w:pPr>
      <w:r>
        <w:rPr>
          <w:rFonts w:hint="eastAsia"/>
        </w:rPr>
        <w:t>5、售后服务响应要求：</w:t>
      </w:r>
      <w:r>
        <w:rPr>
          <w:rFonts w:hint="eastAsia"/>
          <w:lang w:val="en-US" w:eastAsia="zh-CN"/>
        </w:rPr>
        <w:t>提供7*12小时在线服务，</w:t>
      </w:r>
      <w:r>
        <w:rPr>
          <w:rFonts w:hint="eastAsia"/>
        </w:rPr>
        <w:t>各类故障应在2小时内响应，可线上解决的问题即时在线处理；线上无法解决的，在2小时内安排技术人员抵达现场处理。</w:t>
      </w:r>
    </w:p>
    <w:p w14:paraId="683F5C1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/>
        </w:rPr>
      </w:pPr>
      <w:r>
        <w:rPr>
          <w:rFonts w:hint="eastAsia"/>
        </w:rPr>
        <w:t>6、培训要求：供应商须提供完整的系统配套的产品资料，包括但不限于系统安装使用手册、系统功能模块说明书、用户使用手册、帮助文档，并免费为采购人</w:t>
      </w:r>
      <w:r>
        <w:rPr>
          <w:rFonts w:hint="eastAsia"/>
          <w:lang w:val="en-US" w:eastAsia="zh-CN"/>
        </w:rPr>
        <w:t>提供</w:t>
      </w:r>
      <w:bookmarkStart w:id="70" w:name="_GoBack"/>
      <w:bookmarkEnd w:id="70"/>
      <w:r>
        <w:rPr>
          <w:rFonts w:hint="eastAsia"/>
        </w:rPr>
        <w:t>系统操作培训，确保采购人能熟练操作系统、独立处理各类常见故障。</w:t>
      </w:r>
    </w:p>
    <w:p w14:paraId="38E7D29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/>
        </w:rPr>
      </w:pPr>
      <w:r>
        <w:rPr>
          <w:rFonts w:hint="eastAsia"/>
        </w:rPr>
        <w:t>7、知识产权的归属和处理方式：</w:t>
      </w:r>
    </w:p>
    <w:p w14:paraId="0E3551A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）本次采购项目的知识产权为采购人所有。</w:t>
      </w:r>
    </w:p>
    <w:p w14:paraId="7286CB3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）后续若需要配合学校进行与校内外的相关平台对接，</w:t>
      </w:r>
      <w:r>
        <w:rPr>
          <w:rFonts w:hint="eastAsia"/>
          <w:lang w:val="en-US" w:eastAsia="zh-CN"/>
        </w:rPr>
        <w:t>供应商</w:t>
      </w:r>
      <w:r>
        <w:rPr>
          <w:rFonts w:hint="eastAsia"/>
        </w:rPr>
        <w:t>应免费提供技术支持。</w:t>
      </w:r>
    </w:p>
    <w:p w14:paraId="2FA9E18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四、保密要求</w:t>
      </w:r>
    </w:p>
    <w:p w14:paraId="268E992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1、供应商需遵守国家和学校网络安全管理相关法律法规</w:t>
      </w:r>
      <w:r>
        <w:rPr>
          <w:rFonts w:hint="eastAsia"/>
          <w:b w:val="0"/>
          <w:bCs w:val="0"/>
          <w:lang w:val="en-US" w:eastAsia="zh-CN"/>
        </w:rPr>
        <w:t>，</w:t>
      </w:r>
      <w:r>
        <w:rPr>
          <w:rFonts w:hint="default"/>
          <w:b w:val="0"/>
          <w:bCs w:val="0"/>
          <w:lang w:val="en-US" w:eastAsia="zh-CN"/>
        </w:rPr>
        <w:t>获取的数据仅限用于本项目范畴以内。</w:t>
      </w:r>
    </w:p>
    <w:p w14:paraId="01125B1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2、供应商须承诺不外传、不泄露项目敏感数据信息</w:t>
      </w:r>
      <w:r>
        <w:rPr>
          <w:rFonts w:hint="eastAsia"/>
          <w:b w:val="0"/>
          <w:bCs w:val="0"/>
          <w:lang w:val="en-US" w:eastAsia="zh-CN"/>
        </w:rPr>
        <w:t>，</w:t>
      </w:r>
      <w:r>
        <w:rPr>
          <w:rFonts w:hint="default"/>
          <w:b w:val="0"/>
          <w:bCs w:val="0"/>
          <w:lang w:val="en-US" w:eastAsia="zh-CN"/>
        </w:rPr>
        <w:t>获取的数据不得复制、传播、出版、传授、转让或以其他任何方式提供给第三方</w:t>
      </w:r>
      <w:r>
        <w:rPr>
          <w:rFonts w:hint="eastAsia"/>
          <w:b w:val="0"/>
          <w:bCs w:val="0"/>
          <w:lang w:val="en-US" w:eastAsia="zh-CN"/>
        </w:rPr>
        <w:t>，</w:t>
      </w:r>
      <w:r>
        <w:rPr>
          <w:rFonts w:hint="default"/>
          <w:b w:val="0"/>
          <w:bCs w:val="0"/>
          <w:lang w:val="en-US" w:eastAsia="zh-CN"/>
        </w:rPr>
        <w:t>不得使用获取的数据危害国家、社会、集体的利益以及公民的合法权益。</w:t>
      </w:r>
    </w:p>
    <w:p w14:paraId="71D0E72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3</w:t>
      </w:r>
      <w:r>
        <w:rPr>
          <w:rFonts w:hint="default"/>
          <w:b w:val="0"/>
          <w:bCs w:val="0"/>
          <w:lang w:val="en-US" w:eastAsia="zh-CN"/>
        </w:rPr>
        <w:t>、供应商须按国家有关法律法规要求，采取有效的安全措施和操作规范确保网络安全和数据安全，严防丢失泄露。</w:t>
      </w:r>
    </w:p>
    <w:p w14:paraId="49BB16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</w:p>
    <w:p w14:paraId="00C93D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" w:hAnsi="仿宋" w:eastAsia="仿宋" w:cs="仿宋"/>
        </w:rPr>
      </w:pPr>
    </w:p>
    <w:sectPr>
      <w:head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9">
      <wne:fci wne:fciName="Wpsaigc" wne:swArg="0000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80"/>
      </w:pPr>
      <w:r>
        <w:separator/>
      </w:r>
    </w:p>
  </w:endnote>
  <w:endnote w:type="continuationSeparator" w:id="1">
    <w:p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80"/>
      </w:pPr>
      <w:r>
        <w:separator/>
      </w:r>
    </w:p>
  </w:footnote>
  <w:footnote w:type="continuationSeparator" w:id="1">
    <w:p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BFB22">
    <w:pPr>
      <w:pStyle w:val="10"/>
      <w:ind w:left="0" w:leftChars="0" w:firstLine="0" w:firstLineChars="0"/>
      <w:rPr>
        <w:rFonts w:hint="default" w:eastAsia="仿宋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B9DCC"/>
    <w:multiLevelType w:val="singleLevel"/>
    <w:tmpl w:val="813B9DC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9258F93D"/>
    <w:multiLevelType w:val="singleLevel"/>
    <w:tmpl w:val="9258F93D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A4E7106E"/>
    <w:multiLevelType w:val="singleLevel"/>
    <w:tmpl w:val="A4E7106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>
    <w:nsid w:val="A6389E27"/>
    <w:multiLevelType w:val="singleLevel"/>
    <w:tmpl w:val="A6389E2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>
    <w:nsid w:val="AB1EC720"/>
    <w:multiLevelType w:val="singleLevel"/>
    <w:tmpl w:val="AB1EC720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5">
    <w:nsid w:val="B56B4488"/>
    <w:multiLevelType w:val="multilevel"/>
    <w:tmpl w:val="B56B4488"/>
    <w:lvl w:ilvl="0" w:tentative="0">
      <w:start w:val="1"/>
      <w:numFmt w:val="decimal"/>
      <w:pStyle w:val="2"/>
      <w:suff w:val="space"/>
      <w:lvlText w:val="%1."/>
      <w:lvlJc w:val="left"/>
    </w:lvl>
    <w:lvl w:ilvl="1" w:tentative="0">
      <w:start w:val="1"/>
      <w:numFmt w:val="decimal"/>
      <w:pStyle w:val="3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pStyle w:val="4"/>
      <w:suff w:val="space"/>
      <w:lvlText w:val="%1.%2.%3."/>
      <w:lvlJc w:val="left"/>
      <w:pPr>
        <w:ind w:left="0" w:leftChars="0" w:firstLine="0" w:firstLineChars="0"/>
      </w:pPr>
      <w:rPr>
        <w:rFonts w:hint="default" w:ascii="仿宋" w:hAnsi="仿宋" w:eastAsia="仿宋" w:cs="仿宋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abstractNum w:abstractNumId="6">
    <w:nsid w:val="B942F508"/>
    <w:multiLevelType w:val="singleLevel"/>
    <w:tmpl w:val="B942F508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7">
    <w:nsid w:val="C2ABF445"/>
    <w:multiLevelType w:val="singleLevel"/>
    <w:tmpl w:val="C2ABF445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8">
    <w:nsid w:val="C2F6CDE7"/>
    <w:multiLevelType w:val="singleLevel"/>
    <w:tmpl w:val="C2F6CDE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9">
    <w:nsid w:val="C4446168"/>
    <w:multiLevelType w:val="singleLevel"/>
    <w:tmpl w:val="C4446168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0">
    <w:nsid w:val="D1647F55"/>
    <w:multiLevelType w:val="singleLevel"/>
    <w:tmpl w:val="D1647F55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1">
    <w:nsid w:val="01D7B340"/>
    <w:multiLevelType w:val="singleLevel"/>
    <w:tmpl w:val="01D7B340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2">
    <w:nsid w:val="12760434"/>
    <w:multiLevelType w:val="singleLevel"/>
    <w:tmpl w:val="12760434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3">
    <w:nsid w:val="22CDC625"/>
    <w:multiLevelType w:val="singleLevel"/>
    <w:tmpl w:val="22CDC625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4">
    <w:nsid w:val="369F6182"/>
    <w:multiLevelType w:val="singleLevel"/>
    <w:tmpl w:val="369F618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5">
    <w:nsid w:val="4242F6C2"/>
    <w:multiLevelType w:val="singleLevel"/>
    <w:tmpl w:val="4242F6C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6">
    <w:nsid w:val="4D93C686"/>
    <w:multiLevelType w:val="singleLevel"/>
    <w:tmpl w:val="4D93C686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7">
    <w:nsid w:val="537CC558"/>
    <w:multiLevelType w:val="singleLevel"/>
    <w:tmpl w:val="537CC558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8">
    <w:nsid w:val="607E56E8"/>
    <w:multiLevelType w:val="singleLevel"/>
    <w:tmpl w:val="607E56E8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9">
    <w:nsid w:val="6C5696AF"/>
    <w:multiLevelType w:val="singleLevel"/>
    <w:tmpl w:val="6C5696AF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19"/>
  </w:num>
  <w:num w:numId="4">
    <w:abstractNumId w:val="2"/>
  </w:num>
  <w:num w:numId="5">
    <w:abstractNumId w:val="8"/>
  </w:num>
  <w:num w:numId="6">
    <w:abstractNumId w:val="10"/>
  </w:num>
  <w:num w:numId="7">
    <w:abstractNumId w:val="0"/>
  </w:num>
  <w:num w:numId="8">
    <w:abstractNumId w:val="6"/>
  </w:num>
  <w:num w:numId="9">
    <w:abstractNumId w:val="14"/>
  </w:num>
  <w:num w:numId="10">
    <w:abstractNumId w:val="17"/>
  </w:num>
  <w:num w:numId="11">
    <w:abstractNumId w:val="11"/>
  </w:num>
  <w:num w:numId="12">
    <w:abstractNumId w:val="16"/>
  </w:num>
  <w:num w:numId="13">
    <w:abstractNumId w:val="9"/>
  </w:num>
  <w:num w:numId="14">
    <w:abstractNumId w:val="7"/>
  </w:num>
  <w:num w:numId="15">
    <w:abstractNumId w:val="15"/>
  </w:num>
  <w:num w:numId="16">
    <w:abstractNumId w:val="13"/>
  </w:num>
  <w:num w:numId="17">
    <w:abstractNumId w:val="1"/>
  </w:num>
  <w:num w:numId="18">
    <w:abstractNumId w:val="12"/>
  </w:num>
  <w:num w:numId="19">
    <w:abstractNumId w:val="3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02534"/>
    <w:rsid w:val="03116833"/>
    <w:rsid w:val="043724BB"/>
    <w:rsid w:val="04E73DC1"/>
    <w:rsid w:val="059C5BCD"/>
    <w:rsid w:val="06952D48"/>
    <w:rsid w:val="07034156"/>
    <w:rsid w:val="076369A2"/>
    <w:rsid w:val="08DD4883"/>
    <w:rsid w:val="09840C5C"/>
    <w:rsid w:val="0A014C45"/>
    <w:rsid w:val="0A6824E8"/>
    <w:rsid w:val="0A856C30"/>
    <w:rsid w:val="0AC9636A"/>
    <w:rsid w:val="0AFD0EBC"/>
    <w:rsid w:val="0B1C57E6"/>
    <w:rsid w:val="0C851169"/>
    <w:rsid w:val="0F024CF3"/>
    <w:rsid w:val="0FFC1742"/>
    <w:rsid w:val="104D4694"/>
    <w:rsid w:val="11B659B9"/>
    <w:rsid w:val="11CD10AF"/>
    <w:rsid w:val="125F420A"/>
    <w:rsid w:val="126637EB"/>
    <w:rsid w:val="12965764"/>
    <w:rsid w:val="14DE41F2"/>
    <w:rsid w:val="15C745A0"/>
    <w:rsid w:val="16500A3A"/>
    <w:rsid w:val="18157230"/>
    <w:rsid w:val="189D4520"/>
    <w:rsid w:val="19706CFD"/>
    <w:rsid w:val="1A9058A9"/>
    <w:rsid w:val="1BA3785E"/>
    <w:rsid w:val="1BAF31C3"/>
    <w:rsid w:val="1CEF43C3"/>
    <w:rsid w:val="1D5C5E05"/>
    <w:rsid w:val="1F823AF7"/>
    <w:rsid w:val="20701992"/>
    <w:rsid w:val="207C3A39"/>
    <w:rsid w:val="207E5B72"/>
    <w:rsid w:val="21020517"/>
    <w:rsid w:val="22605330"/>
    <w:rsid w:val="23151041"/>
    <w:rsid w:val="23490CEA"/>
    <w:rsid w:val="242805FD"/>
    <w:rsid w:val="24747FE9"/>
    <w:rsid w:val="254A0D4A"/>
    <w:rsid w:val="25A01B64"/>
    <w:rsid w:val="25FC2044"/>
    <w:rsid w:val="266D2F42"/>
    <w:rsid w:val="272C0707"/>
    <w:rsid w:val="273F6F80"/>
    <w:rsid w:val="285F68BA"/>
    <w:rsid w:val="28C84508"/>
    <w:rsid w:val="28C94158"/>
    <w:rsid w:val="2A9C3DF6"/>
    <w:rsid w:val="2B2A31B0"/>
    <w:rsid w:val="2BFC3ECB"/>
    <w:rsid w:val="2DF51997"/>
    <w:rsid w:val="2F6D4E6C"/>
    <w:rsid w:val="31A627B9"/>
    <w:rsid w:val="31E218FC"/>
    <w:rsid w:val="324C4353"/>
    <w:rsid w:val="33F67EC4"/>
    <w:rsid w:val="340A06C9"/>
    <w:rsid w:val="34CA5108"/>
    <w:rsid w:val="35226730"/>
    <w:rsid w:val="354E20E7"/>
    <w:rsid w:val="35B83EE9"/>
    <w:rsid w:val="35ED6E89"/>
    <w:rsid w:val="376A3A13"/>
    <w:rsid w:val="388D7E50"/>
    <w:rsid w:val="38E54E4B"/>
    <w:rsid w:val="3A6F6E31"/>
    <w:rsid w:val="3AE24571"/>
    <w:rsid w:val="3D632551"/>
    <w:rsid w:val="3DDD2538"/>
    <w:rsid w:val="3E2049CA"/>
    <w:rsid w:val="3E38578C"/>
    <w:rsid w:val="3EC06FE2"/>
    <w:rsid w:val="404144EB"/>
    <w:rsid w:val="405368AD"/>
    <w:rsid w:val="40572841"/>
    <w:rsid w:val="4105404B"/>
    <w:rsid w:val="41913B31"/>
    <w:rsid w:val="41AA0871"/>
    <w:rsid w:val="429733C9"/>
    <w:rsid w:val="42EA3C57"/>
    <w:rsid w:val="435968D0"/>
    <w:rsid w:val="444529B0"/>
    <w:rsid w:val="44A45929"/>
    <w:rsid w:val="4629582D"/>
    <w:rsid w:val="46454EEA"/>
    <w:rsid w:val="46476EB4"/>
    <w:rsid w:val="473C009B"/>
    <w:rsid w:val="49643482"/>
    <w:rsid w:val="4965328F"/>
    <w:rsid w:val="49B91E77"/>
    <w:rsid w:val="49F11610"/>
    <w:rsid w:val="4A8A7D2D"/>
    <w:rsid w:val="4BE71BE3"/>
    <w:rsid w:val="4C065F5C"/>
    <w:rsid w:val="4C601EC0"/>
    <w:rsid w:val="4DA004CE"/>
    <w:rsid w:val="4E227D99"/>
    <w:rsid w:val="4ECF7A46"/>
    <w:rsid w:val="4F837791"/>
    <w:rsid w:val="508B5BEF"/>
    <w:rsid w:val="50F97C41"/>
    <w:rsid w:val="53703C45"/>
    <w:rsid w:val="5488491F"/>
    <w:rsid w:val="54C811C0"/>
    <w:rsid w:val="54E434A8"/>
    <w:rsid w:val="57E62B94"/>
    <w:rsid w:val="587D1F7A"/>
    <w:rsid w:val="59A23BE3"/>
    <w:rsid w:val="5A274BDA"/>
    <w:rsid w:val="5B2B24A8"/>
    <w:rsid w:val="5B4B0853"/>
    <w:rsid w:val="5BA10761"/>
    <w:rsid w:val="5BDE751B"/>
    <w:rsid w:val="5BEC7E8A"/>
    <w:rsid w:val="5C311D40"/>
    <w:rsid w:val="5C79404F"/>
    <w:rsid w:val="5C94237E"/>
    <w:rsid w:val="5CBF10FA"/>
    <w:rsid w:val="5DF272AD"/>
    <w:rsid w:val="5E342CF9"/>
    <w:rsid w:val="60723FDE"/>
    <w:rsid w:val="60B46BDA"/>
    <w:rsid w:val="60F03041"/>
    <w:rsid w:val="62976675"/>
    <w:rsid w:val="630D25BA"/>
    <w:rsid w:val="647B68E9"/>
    <w:rsid w:val="65A17F37"/>
    <w:rsid w:val="66B544B5"/>
    <w:rsid w:val="66E06336"/>
    <w:rsid w:val="67565924"/>
    <w:rsid w:val="68636E27"/>
    <w:rsid w:val="68E94ABB"/>
    <w:rsid w:val="6A370475"/>
    <w:rsid w:val="6AB53B3C"/>
    <w:rsid w:val="6C1E623F"/>
    <w:rsid w:val="6C6245EB"/>
    <w:rsid w:val="6CD429A0"/>
    <w:rsid w:val="6D0D1D19"/>
    <w:rsid w:val="6D154D66"/>
    <w:rsid w:val="6D1A08C7"/>
    <w:rsid w:val="6DD24A05"/>
    <w:rsid w:val="6E7B6E4B"/>
    <w:rsid w:val="6F6E4787"/>
    <w:rsid w:val="70543939"/>
    <w:rsid w:val="70D11DCF"/>
    <w:rsid w:val="71963B91"/>
    <w:rsid w:val="71B26913"/>
    <w:rsid w:val="722C514A"/>
    <w:rsid w:val="72842772"/>
    <w:rsid w:val="72AA5080"/>
    <w:rsid w:val="73F00142"/>
    <w:rsid w:val="74E4574A"/>
    <w:rsid w:val="762D324B"/>
    <w:rsid w:val="76BD3E54"/>
    <w:rsid w:val="77A2369A"/>
    <w:rsid w:val="78811502"/>
    <w:rsid w:val="7940316B"/>
    <w:rsid w:val="7A262435"/>
    <w:rsid w:val="7AA2733A"/>
    <w:rsid w:val="7BBA25DF"/>
    <w:rsid w:val="7D304D71"/>
    <w:rsid w:val="7D763BC4"/>
    <w:rsid w:val="7E3F10E3"/>
    <w:rsid w:val="7EF667A6"/>
    <w:rsid w:val="7FB1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720" w:firstLineChars="200"/>
      <w:jc w:val="both"/>
    </w:pPr>
    <w:rPr>
      <w:rFonts w:ascii="仿宋" w:hAnsi="仿宋" w:eastAsia="仿宋" w:cs="仿宋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Lines="0" w:afterLines="0" w:line="360" w:lineRule="auto"/>
      <w:ind w:firstLine="0" w:firstLineChars="0"/>
      <w:outlineLvl w:val="0"/>
    </w:pPr>
    <w:rPr>
      <w:b/>
      <w:spacing w:val="-5"/>
      <w:kern w:val="44"/>
      <w:szCs w:val="21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beforeLines="0" w:afterLines="0" w:line="360" w:lineRule="auto"/>
      <w:ind w:firstLine="0" w:firstLineChars="0"/>
      <w:outlineLvl w:val="1"/>
    </w:pPr>
    <w:rPr>
      <w:b/>
      <w:spacing w:val="-5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numPr>
        <w:ilvl w:val="2"/>
        <w:numId w:val="1"/>
      </w:numPr>
      <w:spacing w:beforeLines="0" w:afterLines="0" w:line="360" w:lineRule="auto"/>
      <w:ind w:firstLine="0" w:firstLineChars="0"/>
      <w:outlineLvl w:val="2"/>
    </w:pPr>
    <w:rPr>
      <w:rFonts w:ascii="宋体" w:hAnsi="宋体" w:cs="宋体"/>
      <w:b/>
      <w:spacing w:val="-2"/>
      <w:sz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60" w:lineRule="auto"/>
      <w:outlineLvl w:val="3"/>
    </w:pPr>
    <w:rPr>
      <w:rFonts w:ascii="宋体" w:hAnsi="宋体" w:eastAsia="宋体"/>
      <w:b/>
      <w:sz w:val="28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qFormat/>
    <w:uiPriority w:val="0"/>
    <w:pPr>
      <w:spacing w:before="150" w:line="360" w:lineRule="auto"/>
      <w:ind w:left="180" w:right="356" w:firstLine="479"/>
    </w:pPr>
    <w:rPr>
      <w:rFonts w:ascii="宋体" w:hAnsi="宋体" w:eastAsia="宋体"/>
      <w:spacing w:val="-6"/>
      <w:sz w:val="24"/>
    </w:rPr>
  </w:style>
  <w:style w:type="paragraph" w:styleId="8">
    <w:name w:val="toc 3"/>
    <w:basedOn w:val="1"/>
    <w:next w:val="1"/>
    <w:qFormat/>
    <w:uiPriority w:val="0"/>
    <w:pPr>
      <w:ind w:left="840" w:leftChars="400" w:firstLine="0" w:firstLineChars="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before="100" w:beforeLines="100" w:line="240" w:lineRule="auto"/>
      <w:ind w:left="0" w:right="0" w:firstLine="0"/>
    </w:pPr>
    <w:rPr>
      <w:spacing w:val="-5"/>
      <w:sz w:val="21"/>
      <w:szCs w:val="21"/>
    </w:rPr>
  </w:style>
  <w:style w:type="paragraph" w:styleId="11">
    <w:name w:val="toc 1"/>
    <w:basedOn w:val="1"/>
    <w:next w:val="1"/>
    <w:qFormat/>
    <w:uiPriority w:val="0"/>
    <w:pPr>
      <w:ind w:firstLine="0" w:firstLineChars="0"/>
    </w:pPr>
  </w:style>
  <w:style w:type="paragraph" w:styleId="12">
    <w:name w:val="toc 2"/>
    <w:basedOn w:val="1"/>
    <w:next w:val="1"/>
    <w:qFormat/>
    <w:uiPriority w:val="0"/>
    <w:pPr>
      <w:ind w:left="420" w:leftChars="200" w:firstLine="0" w:firstLineChars="0"/>
    </w:pPr>
  </w:style>
  <w:style w:type="paragraph" w:styleId="13">
    <w:name w:val="Normal (Web)"/>
    <w:basedOn w:val="1"/>
    <w:qFormat/>
    <w:uiPriority w:val="0"/>
    <w:pPr>
      <w:spacing w:before="0" w:beforeAutospacing="0" w:after="0" w:afterAutospacing="0" w:line="360" w:lineRule="auto"/>
      <w:ind w:left="0" w:right="0"/>
      <w:jc w:val="left"/>
    </w:pPr>
    <w:rPr>
      <w:kern w:val="0"/>
      <w:lang w:bidi="ar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paragraph" w:customStyle="1" w:styleId="18">
    <w:name w:val="表格正文"/>
    <w:basedOn w:val="1"/>
    <w:qFormat/>
    <w:uiPriority w:val="0"/>
    <w:pPr>
      <w:spacing w:line="240" w:lineRule="auto"/>
      <w:ind w:left="0" w:right="0" w:firstLine="0" w:firstLineChars="0"/>
      <w:jc w:val="center"/>
    </w:pPr>
    <w:rPr>
      <w:rFonts w:cs="宋体"/>
      <w:color w:val="000000"/>
      <w:spacing w:val="-5"/>
      <w:kern w:val="0"/>
      <w:szCs w:val="18"/>
    </w:rPr>
  </w:style>
  <w:style w:type="paragraph" w:customStyle="1" w:styleId="19">
    <w:name w:val="图片正文"/>
    <w:basedOn w:val="1"/>
    <w:qFormat/>
    <w:uiPriority w:val="0"/>
    <w:pPr>
      <w:spacing w:line="240" w:lineRule="auto"/>
      <w:ind w:left="0" w:leftChars="0" w:right="0" w:firstLine="0" w:firstLineChars="0"/>
      <w:jc w:val="center"/>
    </w:pPr>
    <w:rPr>
      <w:rFonts w:ascii="仿宋" w:hAnsi="仿宋"/>
      <w:spacing w:val="-5"/>
      <w:sz w:val="24"/>
      <w:szCs w:val="21"/>
    </w:rPr>
  </w:style>
  <w:style w:type="paragraph" w:customStyle="1" w:styleId="20">
    <w:name w:val="主题"/>
    <w:basedOn w:val="1"/>
    <w:qFormat/>
    <w:uiPriority w:val="0"/>
    <w:pPr>
      <w:spacing w:before="100" w:beforeLines="100" w:after="100" w:afterLines="100" w:line="360" w:lineRule="auto"/>
      <w:ind w:firstLine="0" w:firstLineChars="0"/>
      <w:jc w:val="center"/>
    </w:pPr>
    <w:rPr>
      <w:rFonts w:cs="宋体"/>
      <w:b/>
      <w:spacing w:val="-5"/>
      <w:sz w:val="72"/>
      <w:szCs w:val="72"/>
      <w:lang w:eastAsia="en-US"/>
    </w:rPr>
  </w:style>
  <w:style w:type="paragraph" w:customStyle="1" w:styleId="21">
    <w:name w:val="表格标题"/>
    <w:basedOn w:val="1"/>
    <w:qFormat/>
    <w:uiPriority w:val="0"/>
    <w:pPr>
      <w:widowControl/>
      <w:spacing w:line="240" w:lineRule="auto"/>
      <w:ind w:left="0" w:right="0" w:firstLine="0" w:firstLineChars="0"/>
      <w:jc w:val="center"/>
    </w:pPr>
    <w:rPr>
      <w:rFonts w:cs="宋体"/>
      <w:b/>
      <w:bCs/>
      <w:color w:val="000000"/>
      <w:spacing w:val="-5"/>
      <w:kern w:val="0"/>
      <w:sz w:val="21"/>
      <w:szCs w:val="18"/>
    </w:rPr>
  </w:style>
  <w:style w:type="paragraph" w:customStyle="1" w:styleId="22">
    <w:name w:val="代码"/>
    <w:basedOn w:val="1"/>
    <w:qFormat/>
    <w:uiPriority w:val="0"/>
    <w:pPr>
      <w:ind w:firstLine="0" w:firstLineChars="0"/>
    </w:pPr>
    <w:rPr>
      <w:rFonts w:ascii="仿宋" w:hAnsi="仿宋" w:cs="仿宋"/>
      <w:kern w:val="0"/>
      <w:szCs w:val="21"/>
      <w:highlight w:val="lightGray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microsoft.com/office/2006/relationships/keyMapCustomizations" Target="customizations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9375</Words>
  <Characters>9513</Characters>
  <Lines>0</Lines>
  <Paragraphs>0</Paragraphs>
  <TotalTime>15</TotalTime>
  <ScaleCrop>false</ScaleCrop>
  <LinksUpToDate>false</LinksUpToDate>
  <CharactersWithSpaces>9594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2026-03-30T00:53:00Z</dcterms:created>
  <dc:creator>LiXiaolang</dc:creator>
  <cp:lastModifiedBy>王勐</cp:lastModifiedBy>
  <dcterms:modified xsi:type="dcterms:W3CDTF">2026-10-14T02:30:08Z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622A90F6F4934A698C16391A48C5B5C3_12</vt:lpwstr>
  </property>
  <property fmtid="{D5CDD505-2E9C-101B-9397-08002B2CF9AE}" pid="4" name="KSOTemplateDocerSaveRecord">
    <vt:lpwstr>eyJoZGlkIjoiOTIzNzc4NzNkODMxOGY4ZjA3MGY0OTUwZTc1NTE5NWIiLCJ1c2VySWQiOiIxMTUyMTU3MTczIn0=</vt:lpwstr>
  </property>
</Properties>
</file>