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1B42">
      <w:pPr>
        <w:adjustRightInd w:val="0"/>
        <w:snapToGrid w:val="0"/>
        <w:spacing w:line="300" w:lineRule="auto"/>
        <w:rPr>
          <w:rFonts w:hint="eastAsia" w:ascii="仿宋_GB2312" w:hAnsi="仿宋_GB2312" w:eastAsia="仿宋_GB2312"/>
          <w:sz w:val="28"/>
          <w:lang w:val="en-US" w:eastAsia="zh-CN"/>
        </w:rPr>
      </w:pPr>
      <w:r>
        <w:rPr>
          <w:rFonts w:hint="eastAsia" w:ascii="仿宋_GB2312" w:hAnsi="仿宋_GB2312" w:eastAsia="仿宋_GB2312"/>
          <w:sz w:val="28"/>
        </w:rPr>
        <w:t>项目编号：HQWYCG202</w:t>
      </w:r>
      <w:r>
        <w:rPr>
          <w:rFonts w:hint="eastAsia" w:ascii="仿宋_GB2312" w:hAnsi="仿宋_GB2312" w:eastAsia="仿宋_GB2312"/>
          <w:sz w:val="28"/>
          <w:lang w:val="en-US" w:eastAsia="zh-CN"/>
        </w:rPr>
        <w:t>6</w:t>
      </w:r>
      <w:r>
        <w:rPr>
          <w:rFonts w:hint="eastAsia" w:ascii="仿宋_GB2312" w:hAnsi="仿宋_GB2312" w:eastAsia="仿宋_GB2312"/>
          <w:sz w:val="28"/>
        </w:rPr>
        <w:t>00</w:t>
      </w:r>
      <w:r>
        <w:rPr>
          <w:rFonts w:hint="eastAsia" w:ascii="仿宋_GB2312" w:hAnsi="仿宋_GB2312" w:eastAsia="仿宋_GB2312"/>
          <w:sz w:val="28"/>
          <w:lang w:val="en-US" w:eastAsia="zh-CN"/>
        </w:rPr>
        <w:t>2</w:t>
      </w:r>
    </w:p>
    <w:p w14:paraId="15731D69">
      <w:pPr>
        <w:adjustRightInd w:val="0"/>
        <w:snapToGrid w:val="0"/>
        <w:spacing w:line="300" w:lineRule="auto"/>
        <w:jc w:val="center"/>
        <w:rPr>
          <w:rFonts w:ascii="仿宋_GB2312" w:hAnsi="仿宋_GB2312" w:eastAsia="仿宋_GB2312"/>
          <w:snapToGrid w:val="0"/>
          <w:sz w:val="32"/>
          <w:u w:val="single"/>
        </w:rPr>
      </w:pPr>
    </w:p>
    <w:p w14:paraId="7C3C1324">
      <w:pPr>
        <w:jc w:val="center"/>
        <w:rPr>
          <w:rFonts w:hint="default" w:ascii="仿宋_GB2312" w:hAnsi="仿宋_GB2312" w:eastAsia="仿宋_GB2312"/>
          <w:sz w:val="48"/>
          <w:szCs w:val="48"/>
          <w:lang w:val="en-US" w:eastAsia="zh-CN"/>
        </w:rPr>
      </w:pPr>
      <w:r>
        <w:rPr>
          <w:rFonts w:hint="eastAsia" w:ascii="仿宋_GB2312" w:hAnsi="仿宋_GB2312" w:eastAsia="仿宋_GB2312"/>
          <w:sz w:val="48"/>
          <w:szCs w:val="48"/>
        </w:rPr>
        <w:t>南京大学</w:t>
      </w:r>
      <w:r>
        <w:rPr>
          <w:rFonts w:hint="eastAsia" w:ascii="仿宋_GB2312" w:hAnsi="仿宋_GB2312" w:eastAsia="仿宋_GB2312"/>
          <w:sz w:val="48"/>
          <w:szCs w:val="48"/>
          <w:lang w:val="en-US" w:eastAsia="zh-CN"/>
        </w:rPr>
        <w:t>后勤服务集团物业中心三校区体育场馆及游泳馆公众责任险</w:t>
      </w:r>
    </w:p>
    <w:p w14:paraId="0C29367D">
      <w:pPr>
        <w:adjustRightInd w:val="0"/>
        <w:snapToGrid w:val="0"/>
        <w:spacing w:line="360" w:lineRule="auto"/>
        <w:jc w:val="center"/>
        <w:rPr>
          <w:rFonts w:ascii="仿宋_GB2312" w:hAnsi="仿宋_GB2312" w:eastAsia="仿宋_GB2312"/>
          <w:snapToGrid w:val="0"/>
          <w:sz w:val="84"/>
          <w:szCs w:val="84"/>
        </w:rPr>
      </w:pPr>
    </w:p>
    <w:p w14:paraId="6CD6E1C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采</w:t>
      </w:r>
    </w:p>
    <w:p w14:paraId="3A9790FF">
      <w:pPr>
        <w:adjustRightInd w:val="0"/>
        <w:snapToGrid w:val="0"/>
        <w:spacing w:line="360" w:lineRule="auto"/>
        <w:jc w:val="center"/>
        <w:rPr>
          <w:rStyle w:val="22"/>
          <w:b/>
          <w:bCs/>
          <w:sz w:val="84"/>
          <w:szCs w:val="84"/>
        </w:rPr>
      </w:pPr>
      <w:r>
        <w:rPr>
          <w:rFonts w:hint="eastAsia" w:ascii="仿宋_GB2312" w:hAnsi="仿宋_GB2312" w:eastAsia="仿宋_GB2312"/>
          <w:b/>
          <w:bCs/>
          <w:snapToGrid w:val="0"/>
          <w:sz w:val="84"/>
          <w:szCs w:val="84"/>
        </w:rPr>
        <w:t>购</w:t>
      </w:r>
    </w:p>
    <w:p w14:paraId="382E1D4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 xml:space="preserve">文  </w:t>
      </w:r>
    </w:p>
    <w:p w14:paraId="1EC1C23B">
      <w:pPr>
        <w:adjustRightInd w:val="0"/>
        <w:snapToGrid w:val="0"/>
        <w:spacing w:line="360" w:lineRule="auto"/>
        <w:jc w:val="center"/>
        <w:rPr>
          <w:rFonts w:ascii="仿宋_GB2312" w:hAnsi="仿宋_GB2312" w:eastAsia="仿宋_GB2312"/>
          <w:b/>
          <w:bCs/>
          <w:snapToGrid w:val="0"/>
          <w:sz w:val="84"/>
          <w:szCs w:val="84"/>
        </w:rPr>
      </w:pPr>
      <w:r>
        <w:rPr>
          <w:rFonts w:hint="eastAsia" w:ascii="仿宋_GB2312" w:hAnsi="仿宋_GB2312" w:eastAsia="仿宋_GB2312"/>
          <w:b/>
          <w:bCs/>
          <w:snapToGrid w:val="0"/>
          <w:sz w:val="84"/>
          <w:szCs w:val="84"/>
        </w:rPr>
        <w:t>件</w:t>
      </w:r>
    </w:p>
    <w:p w14:paraId="0A450CDB">
      <w:pPr>
        <w:adjustRightInd w:val="0"/>
        <w:snapToGrid w:val="0"/>
        <w:spacing w:line="300" w:lineRule="auto"/>
        <w:jc w:val="center"/>
        <w:rPr>
          <w:rFonts w:ascii="仿宋_GB2312" w:hAnsi="仿宋_GB2312" w:eastAsia="仿宋_GB2312"/>
          <w:snapToGrid w:val="0"/>
          <w:sz w:val="30"/>
        </w:rPr>
      </w:pPr>
    </w:p>
    <w:p w14:paraId="160AE29C">
      <w:pPr>
        <w:adjustRightInd w:val="0"/>
        <w:snapToGrid w:val="0"/>
        <w:spacing w:line="300" w:lineRule="auto"/>
        <w:rPr>
          <w:rFonts w:ascii="仿宋_GB2312" w:hAnsi="仿宋_GB2312" w:eastAsia="仿宋_GB2312"/>
          <w:snapToGrid w:val="0"/>
          <w:sz w:val="72"/>
        </w:rPr>
      </w:pPr>
    </w:p>
    <w:p w14:paraId="3AA4453A">
      <w:pPr>
        <w:adjustRightInd w:val="0"/>
        <w:snapToGrid w:val="0"/>
        <w:spacing w:line="300" w:lineRule="auto"/>
        <w:ind w:firstLine="2310" w:firstLineChars="525"/>
        <w:rPr>
          <w:rFonts w:ascii="仿宋_GB2312" w:hAnsi="仿宋_GB2312" w:eastAsia="仿宋_GB2312"/>
          <w:sz w:val="44"/>
          <w:szCs w:val="44"/>
        </w:rPr>
      </w:pPr>
    </w:p>
    <w:p w14:paraId="4B0091A5">
      <w:pPr>
        <w:jc w:val="center"/>
        <w:rPr>
          <w:rFonts w:hint="default" w:ascii="仿宋_GB2312" w:hAnsi="仿宋_GB2312" w:eastAsia="仿宋_GB2312"/>
          <w:snapToGrid w:val="0"/>
          <w:sz w:val="32"/>
          <w:szCs w:val="32"/>
          <w:lang w:val="en-US" w:eastAsia="zh-CN"/>
        </w:rPr>
      </w:pPr>
      <w:r>
        <w:rPr>
          <w:rFonts w:hint="eastAsia" w:ascii="仿宋_GB2312" w:hAnsi="仿宋_GB2312" w:eastAsia="仿宋_GB2312"/>
          <w:snapToGrid w:val="0"/>
          <w:sz w:val="32"/>
          <w:szCs w:val="32"/>
        </w:rPr>
        <w:t>南京大学</w:t>
      </w:r>
      <w:r>
        <w:rPr>
          <w:rFonts w:hint="eastAsia" w:ascii="仿宋_GB2312" w:hAnsi="仿宋_GB2312" w:eastAsia="仿宋_GB2312"/>
          <w:snapToGrid w:val="0"/>
          <w:sz w:val="32"/>
          <w:szCs w:val="32"/>
          <w:lang w:val="en-US" w:eastAsia="zh-CN"/>
        </w:rPr>
        <w:t>后勤服务集团物业中心</w:t>
      </w:r>
    </w:p>
    <w:p w14:paraId="6FE03D08">
      <w:pPr>
        <w:tabs>
          <w:tab w:val="left" w:pos="3060"/>
        </w:tabs>
        <w:adjustRightInd w:val="0"/>
        <w:snapToGrid w:val="0"/>
        <w:spacing w:line="300" w:lineRule="auto"/>
        <w:jc w:val="center"/>
        <w:rPr>
          <w:rFonts w:hint="default" w:ascii="仿宋_GB2312" w:hAnsi="仿宋_GB2312" w:eastAsia="仿宋_GB2312"/>
          <w:snapToGrid w:val="0"/>
          <w:color w:val="000000"/>
          <w:sz w:val="32"/>
          <w:szCs w:val="32"/>
          <w:lang w:val="en-US" w:eastAsia="zh-CN"/>
        </w:rPr>
      </w:pPr>
      <w:r>
        <w:rPr>
          <w:rFonts w:hint="eastAsia" w:ascii="仿宋_GB2312" w:hAnsi="仿宋_GB2312" w:eastAsia="仿宋_GB2312"/>
          <w:snapToGrid w:val="0"/>
          <w:color w:val="000000"/>
          <w:sz w:val="32"/>
          <w:szCs w:val="32"/>
          <w:lang w:val="en-US" w:eastAsia="zh-CN"/>
        </w:rPr>
        <w:t>2026</w:t>
      </w:r>
      <w:r>
        <w:rPr>
          <w:rFonts w:hint="eastAsia" w:ascii="仿宋_GB2312" w:hAnsi="仿宋_GB2312" w:eastAsia="仿宋_GB2312"/>
          <w:snapToGrid w:val="0"/>
          <w:color w:val="000000"/>
          <w:sz w:val="32"/>
          <w:szCs w:val="32"/>
        </w:rPr>
        <w:t>年</w:t>
      </w:r>
      <w:r>
        <w:rPr>
          <w:rFonts w:hint="eastAsia" w:ascii="仿宋_GB2312" w:hAnsi="仿宋_GB2312" w:eastAsia="仿宋_GB2312"/>
          <w:snapToGrid w:val="0"/>
          <w:color w:val="000000"/>
          <w:sz w:val="32"/>
          <w:szCs w:val="32"/>
          <w:lang w:val="en-US" w:eastAsia="zh-CN"/>
        </w:rPr>
        <w:t>4</w:t>
      </w:r>
      <w:r>
        <w:rPr>
          <w:rFonts w:hint="eastAsia" w:ascii="仿宋_GB2312" w:hAnsi="仿宋_GB2312" w:eastAsia="仿宋_GB2312"/>
          <w:snapToGrid w:val="0"/>
          <w:color w:val="000000"/>
          <w:sz w:val="32"/>
          <w:szCs w:val="32"/>
        </w:rPr>
        <w:t>月</w:t>
      </w:r>
    </w:p>
    <w:p w14:paraId="089250CC">
      <w:pPr>
        <w:adjustRightInd w:val="0"/>
        <w:snapToGrid w:val="0"/>
        <w:spacing w:after="240" w:afterLines="100" w:line="360" w:lineRule="auto"/>
        <w:jc w:val="center"/>
        <w:rPr>
          <w:rFonts w:ascii="仿宋_GB2312" w:hAnsi="仿宋_GB2312" w:eastAsia="仿宋_GB2312"/>
          <w:snapToGrid w:val="0"/>
          <w:sz w:val="36"/>
        </w:rPr>
      </w:pPr>
      <w:r>
        <w:rPr>
          <w:rFonts w:ascii="仿宋_GB2312" w:hAnsi="仿宋_GB2312" w:eastAsia="仿宋_GB2312"/>
          <w:sz w:val="41"/>
        </w:rPr>
        <w:br w:type="page"/>
      </w:r>
      <w:r>
        <w:rPr>
          <w:rFonts w:hint="eastAsia" w:ascii="仿宋_GB2312" w:hAnsi="仿宋_GB2312" w:eastAsia="仿宋_GB2312"/>
          <w:snapToGrid w:val="0"/>
          <w:sz w:val="36"/>
        </w:rPr>
        <w:t>前  附  表</w:t>
      </w:r>
    </w:p>
    <w:tbl>
      <w:tblPr>
        <w:tblStyle w:val="16"/>
        <w:tblW w:w="95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350"/>
        <w:gridCol w:w="2555"/>
        <w:gridCol w:w="2405"/>
      </w:tblGrid>
      <w:tr w14:paraId="220F9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05" w:hRule="atLeast"/>
          <w:jc w:val="center"/>
        </w:trPr>
        <w:tc>
          <w:tcPr>
            <w:tcW w:w="2262" w:type="dxa"/>
            <w:tcBorders>
              <w:top w:val="double" w:color="auto" w:sz="4" w:space="0"/>
              <w:left w:val="double" w:color="auto" w:sz="4" w:space="0"/>
            </w:tcBorders>
            <w:vAlign w:val="center"/>
          </w:tcPr>
          <w:p w14:paraId="7032635F">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采购邀请及须知</w:t>
            </w:r>
          </w:p>
        </w:tc>
        <w:tc>
          <w:tcPr>
            <w:tcW w:w="7310" w:type="dxa"/>
            <w:gridSpan w:val="3"/>
            <w:tcBorders>
              <w:top w:val="double" w:color="auto" w:sz="4" w:space="0"/>
              <w:right w:val="double" w:color="auto" w:sz="4" w:space="0"/>
            </w:tcBorders>
            <w:vAlign w:val="center"/>
          </w:tcPr>
          <w:p w14:paraId="581B155E">
            <w:pPr>
              <w:adjustRightInd w:val="0"/>
              <w:snapToGrid w:val="0"/>
              <w:rPr>
                <w:rFonts w:hint="eastAsia" w:ascii="仿宋_GB2312" w:hAnsi="仿宋_GB2312" w:eastAsia="仿宋_GB2312"/>
                <w:snapToGrid w:val="0"/>
                <w:sz w:val="28"/>
                <w:szCs w:val="28"/>
              </w:rPr>
            </w:pPr>
            <w:r>
              <w:rPr>
                <w:rFonts w:hint="eastAsia" w:ascii="仿宋_GB2312" w:hAnsi="仿宋_GB2312" w:eastAsia="仿宋_GB2312"/>
                <w:snapToGrid w:val="0"/>
                <w:sz w:val="28"/>
                <w:szCs w:val="28"/>
              </w:rPr>
              <w:t>南京大学</w:t>
            </w:r>
            <w:r>
              <w:rPr>
                <w:rFonts w:hint="eastAsia" w:ascii="仿宋_GB2312" w:hAnsi="仿宋_GB2312" w:eastAsia="仿宋_GB2312"/>
                <w:snapToGrid w:val="0"/>
                <w:sz w:val="28"/>
                <w:szCs w:val="28"/>
                <w:lang w:val="en-US" w:eastAsia="zh-CN"/>
              </w:rPr>
              <w:t>后勤服务集团物业中心</w:t>
            </w:r>
            <w:r>
              <w:rPr>
                <w:rFonts w:hint="eastAsia" w:ascii="仿宋_GB2312" w:hAnsi="仿宋_GB2312" w:eastAsia="仿宋_GB2312"/>
                <w:snapToGrid w:val="0"/>
                <w:sz w:val="28"/>
                <w:szCs w:val="28"/>
              </w:rPr>
              <w:t>具体承办南京大学“</w:t>
            </w:r>
            <w:r>
              <w:rPr>
                <w:rFonts w:hint="eastAsia" w:ascii="仿宋_GB2312" w:hAnsi="仿宋_GB2312" w:eastAsia="仿宋_GB2312"/>
                <w:snapToGrid w:val="0"/>
                <w:sz w:val="28"/>
                <w:szCs w:val="28"/>
                <w:lang w:val="en-US" w:eastAsia="zh-CN"/>
              </w:rPr>
              <w:t>物业中心三校区体育场馆及游泳馆公众责任险</w:t>
            </w:r>
            <w:r>
              <w:rPr>
                <w:rFonts w:hint="eastAsia" w:ascii="仿宋_GB2312" w:hAnsi="仿宋_GB2312" w:eastAsia="仿宋_GB2312"/>
                <w:snapToGrid w:val="0"/>
                <w:sz w:val="28"/>
                <w:szCs w:val="28"/>
              </w:rPr>
              <w:t>”项目的采购事宜，欢迎有意向的合格供应商参与响应。请各供应商仔细阅读本采购文件，供应商一旦提交响应文件，视为已阅读并全部理解本采购文件。</w:t>
            </w:r>
          </w:p>
          <w:p w14:paraId="11E06802">
            <w:pPr>
              <w:adjustRightInd w:val="0"/>
              <w:snapToGrid w:val="0"/>
              <w:rPr>
                <w:rFonts w:hint="eastAsia" w:ascii="仿宋_GB2312" w:hAnsi="仿宋_GB2312" w:eastAsia="仿宋_GB2312"/>
                <w:snapToGrid w:val="0"/>
                <w:sz w:val="28"/>
                <w:szCs w:val="28"/>
              </w:rPr>
            </w:pPr>
            <w:r>
              <w:rPr>
                <w:rFonts w:hint="eastAsia" w:ascii="仿宋_GB2312" w:hAnsi="仿宋_GB2312" w:eastAsia="仿宋_GB2312"/>
                <w:b/>
                <w:bCs/>
                <w:snapToGrid w:val="0"/>
                <w:sz w:val="24"/>
                <w:szCs w:val="24"/>
              </w:rPr>
              <w:t>本项目为南京大学后勤服务集团</w:t>
            </w:r>
            <w:r>
              <w:rPr>
                <w:rFonts w:hint="eastAsia" w:ascii="仿宋_GB2312" w:hAnsi="仿宋_GB2312" w:eastAsia="仿宋_GB2312"/>
                <w:b/>
                <w:bCs/>
                <w:snapToGrid w:val="0"/>
                <w:sz w:val="24"/>
                <w:szCs w:val="24"/>
                <w:lang w:val="en-US" w:eastAsia="zh-CN"/>
              </w:rPr>
              <w:t>物业中心</w:t>
            </w:r>
            <w:r>
              <w:rPr>
                <w:rFonts w:hint="eastAsia" w:ascii="仿宋_GB2312" w:hAnsi="仿宋_GB2312" w:eastAsia="仿宋_GB2312"/>
                <w:b/>
                <w:bCs/>
                <w:snapToGrid w:val="0"/>
                <w:sz w:val="24"/>
                <w:szCs w:val="24"/>
              </w:rPr>
              <w:t>自主采购项目，非依法必须招标项目，供应商提交的文件应称为“响应文件”，文件中避免使用“投标”、“投标人”、“投标文件”等字样。</w:t>
            </w:r>
          </w:p>
        </w:tc>
      </w:tr>
      <w:tr w14:paraId="04DC1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262" w:type="dxa"/>
            <w:tcBorders>
              <w:top w:val="double" w:color="auto" w:sz="4" w:space="0"/>
              <w:left w:val="double" w:color="auto" w:sz="4" w:space="0"/>
            </w:tcBorders>
            <w:vAlign w:val="center"/>
          </w:tcPr>
          <w:p w14:paraId="4B877C94">
            <w:pPr>
              <w:adjustRightInd w:val="0"/>
              <w:snapToGrid w:val="0"/>
              <w:spacing w:line="300" w:lineRule="auto"/>
              <w:jc w:val="center"/>
              <w:rPr>
                <w:rFonts w:ascii="仿宋_GB2312" w:hAnsi="仿宋_GB2312" w:eastAsia="仿宋_GB2312"/>
                <w:snapToGrid w:val="0"/>
                <w:sz w:val="28"/>
                <w:szCs w:val="28"/>
              </w:rPr>
            </w:pPr>
            <w:r>
              <w:rPr>
                <w:rFonts w:hint="eastAsia" w:ascii="仿宋_GB2312" w:hAnsi="仿宋_GB2312" w:eastAsia="仿宋_GB2312"/>
                <w:sz w:val="28"/>
                <w:szCs w:val="28"/>
              </w:rPr>
              <w:t>项目名称</w:t>
            </w:r>
          </w:p>
        </w:tc>
        <w:tc>
          <w:tcPr>
            <w:tcW w:w="7310" w:type="dxa"/>
            <w:gridSpan w:val="3"/>
            <w:tcBorders>
              <w:top w:val="double" w:color="auto" w:sz="4" w:space="0"/>
              <w:right w:val="double" w:color="auto" w:sz="4" w:space="0"/>
            </w:tcBorders>
            <w:vAlign w:val="center"/>
          </w:tcPr>
          <w:p w14:paraId="27C327D6">
            <w:pPr>
              <w:adjustRightInd w:val="0"/>
              <w:snapToGrid w:val="0"/>
              <w:spacing w:line="300" w:lineRule="auto"/>
              <w:rPr>
                <w:rFonts w:ascii="仿宋_GB2312" w:hAnsi="仿宋_GB2312" w:eastAsia="仿宋_GB2312"/>
                <w:snapToGrid w:val="0"/>
                <w:sz w:val="28"/>
                <w:szCs w:val="28"/>
              </w:rPr>
            </w:pPr>
            <w:r>
              <w:rPr>
                <w:rFonts w:hint="eastAsia" w:ascii="仿宋_GB2312" w:hAnsi="仿宋_GB2312" w:eastAsia="仿宋_GB2312"/>
                <w:sz w:val="28"/>
                <w:szCs w:val="28"/>
              </w:rPr>
              <w:t>南京大学</w:t>
            </w:r>
            <w:r>
              <w:rPr>
                <w:rFonts w:hint="eastAsia" w:ascii="仿宋_GB2312" w:hAnsi="仿宋_GB2312" w:eastAsia="仿宋_GB2312"/>
                <w:sz w:val="28"/>
                <w:szCs w:val="28"/>
                <w:lang w:val="en-US" w:eastAsia="zh-CN"/>
              </w:rPr>
              <w:t>后勤服务集团物业中心</w:t>
            </w:r>
            <w:r>
              <w:rPr>
                <w:rFonts w:hint="eastAsia" w:ascii="仿宋_GB2312" w:hAnsi="仿宋_GB2312" w:eastAsia="仿宋_GB2312"/>
                <w:snapToGrid w:val="0"/>
                <w:sz w:val="28"/>
                <w:szCs w:val="28"/>
                <w:lang w:val="en-US" w:eastAsia="zh-CN"/>
              </w:rPr>
              <w:t>三校区体育场馆及游泳馆公众责任险</w:t>
            </w:r>
            <w:r>
              <w:rPr>
                <w:rFonts w:hint="eastAsia" w:ascii="仿宋_GB2312" w:hAnsi="仿宋_GB2312" w:eastAsia="仿宋_GB2312"/>
                <w:sz w:val="28"/>
                <w:szCs w:val="28"/>
              </w:rPr>
              <w:t>采购项目</w:t>
            </w:r>
          </w:p>
        </w:tc>
      </w:tr>
      <w:tr w14:paraId="59FDD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tcBorders>
            <w:vAlign w:val="center"/>
          </w:tcPr>
          <w:p w14:paraId="09610F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项目编号</w:t>
            </w:r>
          </w:p>
        </w:tc>
        <w:tc>
          <w:tcPr>
            <w:tcW w:w="7310" w:type="dxa"/>
            <w:gridSpan w:val="3"/>
            <w:tcBorders>
              <w:right w:val="double" w:color="auto" w:sz="4" w:space="0"/>
            </w:tcBorders>
            <w:vAlign w:val="center"/>
          </w:tcPr>
          <w:p w14:paraId="6B8B4C5F">
            <w:pPr>
              <w:adjustRightInd w:val="0"/>
              <w:snapToGrid w:val="0"/>
              <w:spacing w:line="300" w:lineRule="auto"/>
              <w:rPr>
                <w:rFonts w:hint="eastAsia" w:ascii="仿宋_GB2312" w:hAnsi="仿宋_GB2312" w:eastAsia="仿宋_GB2312"/>
                <w:sz w:val="28"/>
                <w:szCs w:val="28"/>
                <w:lang w:val="en-US" w:eastAsia="zh-CN"/>
              </w:rPr>
            </w:pPr>
            <w:r>
              <w:rPr>
                <w:rFonts w:hint="eastAsia" w:ascii="仿宋_GB2312" w:hAnsi="仿宋_GB2312" w:eastAsia="仿宋_GB2312"/>
                <w:sz w:val="28"/>
                <w:szCs w:val="28"/>
              </w:rPr>
              <w:t>HQWYCG202</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00</w:t>
            </w:r>
            <w:r>
              <w:rPr>
                <w:rFonts w:hint="eastAsia" w:ascii="仿宋_GB2312" w:hAnsi="仿宋_GB2312" w:eastAsia="仿宋_GB2312"/>
                <w:sz w:val="28"/>
                <w:szCs w:val="28"/>
                <w:lang w:val="en-US" w:eastAsia="zh-CN"/>
              </w:rPr>
              <w:t>2</w:t>
            </w:r>
          </w:p>
        </w:tc>
      </w:tr>
      <w:tr w14:paraId="535E6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bottom w:val="single" w:color="auto" w:sz="4" w:space="0"/>
            </w:tcBorders>
            <w:vAlign w:val="center"/>
          </w:tcPr>
          <w:p w14:paraId="798F8050">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联 系 人</w:t>
            </w:r>
          </w:p>
        </w:tc>
        <w:tc>
          <w:tcPr>
            <w:tcW w:w="2350" w:type="dxa"/>
            <w:tcBorders>
              <w:bottom w:val="single" w:color="auto" w:sz="4" w:space="0"/>
            </w:tcBorders>
            <w:vAlign w:val="center"/>
          </w:tcPr>
          <w:p w14:paraId="113A6BF6">
            <w:pPr>
              <w:adjustRightInd w:val="0"/>
              <w:snapToGrid w:val="0"/>
              <w:spacing w:line="300" w:lineRule="auto"/>
              <w:rPr>
                <w:rFonts w:ascii="仿宋_GB2312" w:hAnsi="仿宋_GB2312" w:eastAsia="仿宋_GB2312"/>
                <w:sz w:val="28"/>
                <w:szCs w:val="28"/>
              </w:rPr>
            </w:pPr>
            <w:r>
              <w:rPr>
                <w:rFonts w:hint="eastAsia" w:ascii="仿宋_GB2312" w:hAnsi="仿宋_GB2312" w:eastAsia="仿宋_GB2312"/>
                <w:sz w:val="28"/>
                <w:szCs w:val="28"/>
                <w:lang w:val="en-US" w:eastAsia="zh-CN"/>
              </w:rPr>
              <w:t>马</w:t>
            </w:r>
            <w:r>
              <w:rPr>
                <w:rFonts w:hint="eastAsia" w:ascii="仿宋_GB2312" w:hAnsi="仿宋_GB2312" w:eastAsia="仿宋_GB2312"/>
                <w:sz w:val="28"/>
                <w:szCs w:val="28"/>
              </w:rPr>
              <w:t>老师</w:t>
            </w:r>
          </w:p>
        </w:tc>
        <w:tc>
          <w:tcPr>
            <w:tcW w:w="2555" w:type="dxa"/>
            <w:tcBorders>
              <w:bottom w:val="single" w:color="auto" w:sz="4" w:space="0"/>
            </w:tcBorders>
            <w:vAlign w:val="center"/>
          </w:tcPr>
          <w:p w14:paraId="094C6941">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联系电话</w:t>
            </w:r>
          </w:p>
        </w:tc>
        <w:tc>
          <w:tcPr>
            <w:tcW w:w="2405" w:type="dxa"/>
            <w:tcBorders>
              <w:bottom w:val="single" w:color="auto" w:sz="4" w:space="0"/>
              <w:right w:val="double" w:color="auto" w:sz="4" w:space="0"/>
            </w:tcBorders>
            <w:vAlign w:val="center"/>
          </w:tcPr>
          <w:p w14:paraId="536E8E85">
            <w:pPr>
              <w:adjustRightInd w:val="0"/>
              <w:snapToGrid w:val="0"/>
              <w:spacing w:line="300" w:lineRule="auto"/>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025-89681553</w:t>
            </w:r>
          </w:p>
          <w:p w14:paraId="2298B01B">
            <w:pPr>
              <w:pStyle w:val="4"/>
              <w:rPr>
                <w:rFonts w:hint="default"/>
                <w:lang w:val="en-US" w:eastAsia="zh-CN"/>
              </w:rPr>
            </w:pPr>
            <w:r>
              <w:rPr>
                <w:rFonts w:hint="eastAsia" w:ascii="仿宋_GB2312" w:hAnsi="仿宋_GB2312" w:eastAsia="仿宋_GB2312"/>
                <w:sz w:val="28"/>
                <w:szCs w:val="28"/>
                <w:lang w:val="en-US" w:eastAsia="zh-CN"/>
              </w:rPr>
              <w:t>19941524669</w:t>
            </w:r>
          </w:p>
        </w:tc>
      </w:tr>
      <w:tr w14:paraId="19594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top w:val="single" w:color="auto" w:sz="4" w:space="0"/>
              <w:left w:val="double" w:color="auto" w:sz="4" w:space="0"/>
              <w:bottom w:val="single" w:color="auto" w:sz="4" w:space="0"/>
            </w:tcBorders>
            <w:vAlign w:val="center"/>
          </w:tcPr>
          <w:p w14:paraId="6FA45D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项目预算</w:t>
            </w:r>
          </w:p>
        </w:tc>
        <w:tc>
          <w:tcPr>
            <w:tcW w:w="2350" w:type="dxa"/>
            <w:tcBorders>
              <w:right w:val="single" w:color="auto" w:sz="4" w:space="0"/>
            </w:tcBorders>
            <w:vAlign w:val="center"/>
          </w:tcPr>
          <w:p w14:paraId="0F92E750">
            <w:pPr>
              <w:adjustRightInd w:val="0"/>
              <w:snapToGrid w:val="0"/>
              <w:spacing w:line="300" w:lineRule="auto"/>
              <w:rPr>
                <w:rFonts w:ascii="仿宋_GB2312" w:hAnsi="仿宋_GB2312" w:eastAsia="仿宋_GB2312"/>
                <w:sz w:val="28"/>
                <w:szCs w:val="28"/>
              </w:rPr>
            </w:pPr>
            <w:r>
              <w:rPr>
                <w:rFonts w:hint="eastAsia" w:ascii="仿宋_GB2312" w:hAnsi="仿宋_GB2312" w:eastAsia="仿宋_GB2312"/>
                <w:sz w:val="28"/>
                <w:szCs w:val="28"/>
                <w:lang w:val="en-US" w:eastAsia="zh-CN"/>
              </w:rPr>
              <w:t>5</w:t>
            </w:r>
            <w:r>
              <w:rPr>
                <w:rFonts w:hint="eastAsia" w:ascii="仿宋_GB2312" w:hAnsi="仿宋_GB2312" w:eastAsia="仿宋_GB2312"/>
                <w:sz w:val="28"/>
                <w:szCs w:val="28"/>
              </w:rPr>
              <w:t>万元</w:t>
            </w:r>
          </w:p>
        </w:tc>
        <w:tc>
          <w:tcPr>
            <w:tcW w:w="2555" w:type="dxa"/>
            <w:tcBorders>
              <w:left w:val="single" w:color="auto" w:sz="4" w:space="0"/>
              <w:right w:val="single" w:color="auto" w:sz="4" w:space="0"/>
            </w:tcBorders>
            <w:vAlign w:val="center"/>
          </w:tcPr>
          <w:p w14:paraId="11C09A0B">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响应保证金</w:t>
            </w:r>
          </w:p>
        </w:tc>
        <w:tc>
          <w:tcPr>
            <w:tcW w:w="2405" w:type="dxa"/>
            <w:tcBorders>
              <w:left w:val="single" w:color="auto" w:sz="4" w:space="0"/>
              <w:right w:val="double" w:color="auto" w:sz="4" w:space="0"/>
            </w:tcBorders>
            <w:vAlign w:val="center"/>
          </w:tcPr>
          <w:p w14:paraId="24E25165">
            <w:pPr>
              <w:adjustRightInd w:val="0"/>
              <w:snapToGrid w:val="0"/>
              <w:spacing w:line="300" w:lineRule="auto"/>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无</w:t>
            </w:r>
          </w:p>
        </w:tc>
      </w:tr>
      <w:tr w14:paraId="4083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15" w:hRule="atLeast"/>
          <w:jc w:val="center"/>
        </w:trPr>
        <w:tc>
          <w:tcPr>
            <w:tcW w:w="2262" w:type="dxa"/>
            <w:tcBorders>
              <w:left w:val="double" w:color="auto" w:sz="4" w:space="0"/>
              <w:right w:val="single" w:color="auto" w:sz="4" w:space="0"/>
            </w:tcBorders>
            <w:vAlign w:val="center"/>
          </w:tcPr>
          <w:p w14:paraId="58B411A2">
            <w:pPr>
              <w:jc w:val="center"/>
              <w:rPr>
                <w:rFonts w:ascii="仿宋_GB2312" w:hAnsi="仿宋_GB2312" w:eastAsia="仿宋_GB2312"/>
                <w:sz w:val="28"/>
                <w:szCs w:val="28"/>
              </w:rPr>
            </w:pPr>
            <w:r>
              <w:rPr>
                <w:rFonts w:hint="eastAsia" w:ascii="仿宋_GB2312" w:hAnsi="仿宋_GB2312" w:eastAsia="仿宋_GB2312"/>
                <w:sz w:val="28"/>
                <w:szCs w:val="28"/>
              </w:rPr>
              <w:t>答疑时间</w:t>
            </w:r>
          </w:p>
        </w:tc>
        <w:tc>
          <w:tcPr>
            <w:tcW w:w="7310" w:type="dxa"/>
            <w:gridSpan w:val="3"/>
            <w:tcBorders>
              <w:left w:val="single" w:color="auto" w:sz="4" w:space="0"/>
              <w:right w:val="double" w:color="auto" w:sz="4" w:space="0"/>
            </w:tcBorders>
            <w:vAlign w:val="center"/>
          </w:tcPr>
          <w:p w14:paraId="0F1555A3">
            <w:pPr>
              <w:rPr>
                <w:rFonts w:ascii="仿宋_GB2312" w:hAnsi="仿宋_GB2312" w:eastAsia="仿宋_GB2312"/>
                <w:sz w:val="28"/>
                <w:szCs w:val="28"/>
              </w:rPr>
            </w:pPr>
            <w:r>
              <w:rPr>
                <w:rFonts w:hint="eastAsia" w:ascii="仿宋_GB2312" w:hAnsi="仿宋_GB2312" w:eastAsia="仿宋_GB2312"/>
                <w:sz w:val="28"/>
                <w:szCs w:val="28"/>
              </w:rPr>
              <w:t>采购人不安排统一答疑，供应商如有不清楚之处或认为本采购文件有任何不合理之处，20</w:t>
            </w:r>
            <w:r>
              <w:rPr>
                <w:rFonts w:hint="eastAsia" w:ascii="仿宋_GB2312" w:hAnsi="仿宋_GB2312" w:eastAsia="仿宋_GB2312"/>
                <w:sz w:val="28"/>
                <w:szCs w:val="28"/>
                <w:lang w:val="en-US" w:eastAsia="zh-CN"/>
              </w:rPr>
              <w:t>26</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4</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17</w:t>
            </w:r>
            <w:r>
              <w:rPr>
                <w:rFonts w:hint="eastAsia" w:ascii="仿宋_GB2312" w:hAnsi="仿宋_GB2312" w:eastAsia="仿宋_GB2312"/>
                <w:sz w:val="28"/>
                <w:szCs w:val="28"/>
              </w:rPr>
              <w:t>日1</w:t>
            </w:r>
            <w:r>
              <w:rPr>
                <w:rFonts w:hint="eastAsia" w:ascii="仿宋_GB2312" w:hAnsi="仿宋_GB2312" w:eastAsia="仿宋_GB2312"/>
                <w:sz w:val="28"/>
                <w:szCs w:val="28"/>
                <w:lang w:val="en-US" w:eastAsia="zh-CN"/>
              </w:rPr>
              <w:t>1</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3</w:t>
            </w:r>
            <w:r>
              <w:rPr>
                <w:rFonts w:hint="eastAsia" w:ascii="仿宋_GB2312" w:hAnsi="仿宋_GB2312" w:eastAsia="仿宋_GB2312"/>
                <w:sz w:val="28"/>
                <w:szCs w:val="28"/>
              </w:rPr>
              <w:t>0之前，将相关疑问以书面形式（加盖单位公章）的扫描件或图片格式发至</w:t>
            </w:r>
            <w:r>
              <w:rPr>
                <w:rFonts w:hint="eastAsia" w:ascii="仿宋_GB2312" w:hAnsi="仿宋_GB2312" w:eastAsia="仿宋_GB2312"/>
                <w:sz w:val="28"/>
                <w:szCs w:val="28"/>
                <w:lang w:val="en-US" w:eastAsia="zh-CN"/>
              </w:rPr>
              <w:t>1526049809</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qq.</w:t>
            </w:r>
            <w:r>
              <w:rPr>
                <w:rFonts w:ascii="仿宋_GB2312" w:hAnsi="仿宋_GB2312" w:eastAsia="仿宋_GB2312"/>
                <w:sz w:val="28"/>
                <w:szCs w:val="28"/>
              </w:rPr>
              <w:t>c</w:t>
            </w:r>
            <w:r>
              <w:rPr>
                <w:rFonts w:hint="eastAsia" w:ascii="仿宋_GB2312" w:hAnsi="仿宋_GB2312" w:eastAsia="仿宋_GB2312"/>
                <w:sz w:val="28"/>
                <w:szCs w:val="28"/>
                <w:lang w:val="en-US" w:eastAsia="zh-CN"/>
              </w:rPr>
              <w:t>om</w:t>
            </w:r>
            <w:r>
              <w:rPr>
                <w:rFonts w:hint="eastAsia" w:ascii="仿宋_GB2312" w:hAnsi="仿宋_GB2312" w:eastAsia="仿宋_GB2312"/>
                <w:sz w:val="28"/>
                <w:szCs w:val="28"/>
              </w:rPr>
              <w:t>。如供应商在规定时间内未提交书面文件，视为对采购文件无异议。</w:t>
            </w:r>
          </w:p>
        </w:tc>
      </w:tr>
      <w:tr w14:paraId="68342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262" w:type="dxa"/>
            <w:tcBorders>
              <w:left w:val="double" w:color="auto" w:sz="4" w:space="0"/>
            </w:tcBorders>
            <w:vAlign w:val="center"/>
          </w:tcPr>
          <w:p w14:paraId="7D211241">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响应文件份数</w:t>
            </w:r>
          </w:p>
        </w:tc>
        <w:tc>
          <w:tcPr>
            <w:tcW w:w="7310" w:type="dxa"/>
            <w:gridSpan w:val="3"/>
            <w:tcBorders>
              <w:right w:val="double" w:color="auto" w:sz="4" w:space="0"/>
            </w:tcBorders>
            <w:vAlign w:val="center"/>
          </w:tcPr>
          <w:p w14:paraId="78C63D8C">
            <w:pPr>
              <w:adjustRightInd w:val="0"/>
              <w:snapToGrid w:val="0"/>
              <w:rPr>
                <w:rFonts w:ascii="仿宋_GB2312" w:hAnsi="仿宋_GB2312" w:eastAsia="仿宋_GB2312"/>
                <w:sz w:val="28"/>
                <w:szCs w:val="28"/>
              </w:rPr>
            </w:pPr>
            <w:r>
              <w:rPr>
                <w:rFonts w:hint="eastAsia" w:ascii="仿宋_GB2312" w:hAnsi="仿宋_GB2312" w:eastAsia="仿宋_GB2312"/>
                <w:sz w:val="28"/>
                <w:szCs w:val="28"/>
                <w:lang w:val="en-US" w:eastAsia="zh-CN"/>
              </w:rPr>
              <w:t>响应文件壹式肆份，</w:t>
            </w:r>
            <w:r>
              <w:rPr>
                <w:rFonts w:hint="eastAsia" w:ascii="仿宋_GB2312" w:hAnsi="仿宋_GB2312" w:eastAsia="仿宋_GB2312"/>
                <w:sz w:val="28"/>
                <w:szCs w:val="28"/>
              </w:rPr>
              <w:t>壹套正本、</w:t>
            </w:r>
            <w:r>
              <w:rPr>
                <w:rFonts w:hint="eastAsia" w:ascii="仿宋_GB2312" w:hAnsi="仿宋_GB2312" w:eastAsia="仿宋_GB2312"/>
                <w:sz w:val="28"/>
                <w:szCs w:val="28"/>
                <w:lang w:val="en-US" w:eastAsia="zh-CN"/>
              </w:rPr>
              <w:t>叁</w:t>
            </w:r>
            <w:r>
              <w:rPr>
                <w:rFonts w:hint="eastAsia" w:ascii="仿宋_GB2312" w:hAnsi="仿宋_GB2312" w:eastAsia="仿宋_GB2312"/>
                <w:sz w:val="28"/>
                <w:szCs w:val="28"/>
              </w:rPr>
              <w:t>套副本</w:t>
            </w:r>
          </w:p>
        </w:tc>
      </w:tr>
      <w:tr w14:paraId="6485D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2262" w:type="dxa"/>
            <w:tcBorders>
              <w:left w:val="double" w:color="auto" w:sz="4" w:space="0"/>
            </w:tcBorders>
            <w:vAlign w:val="center"/>
          </w:tcPr>
          <w:p w14:paraId="32CE51C5">
            <w:pPr>
              <w:jc w:val="center"/>
              <w:rPr>
                <w:rFonts w:ascii="仿宋_GB2312" w:hAnsi="仿宋_GB2312" w:eastAsia="仿宋_GB2312"/>
                <w:sz w:val="28"/>
                <w:szCs w:val="28"/>
              </w:rPr>
            </w:pPr>
            <w:r>
              <w:rPr>
                <w:rFonts w:hint="eastAsia" w:ascii="仿宋_GB2312" w:hAnsi="仿宋_GB2312" w:eastAsia="仿宋_GB2312"/>
                <w:sz w:val="28"/>
                <w:szCs w:val="28"/>
              </w:rPr>
              <w:t>响应有效期</w:t>
            </w:r>
          </w:p>
        </w:tc>
        <w:tc>
          <w:tcPr>
            <w:tcW w:w="7310" w:type="dxa"/>
            <w:gridSpan w:val="3"/>
            <w:tcBorders>
              <w:right w:val="double" w:color="auto" w:sz="4" w:space="0"/>
            </w:tcBorders>
            <w:vAlign w:val="center"/>
          </w:tcPr>
          <w:p w14:paraId="3023B28E">
            <w:pPr>
              <w:rPr>
                <w:rFonts w:ascii="仿宋_GB2312" w:hAnsi="仿宋_GB2312" w:eastAsia="仿宋_GB2312"/>
                <w:sz w:val="28"/>
                <w:szCs w:val="28"/>
              </w:rPr>
            </w:pPr>
            <w:r>
              <w:rPr>
                <w:rFonts w:hint="eastAsia" w:ascii="仿宋_GB2312" w:hAnsi="仿宋_GB2312" w:eastAsia="仿宋_GB2312"/>
                <w:sz w:val="28"/>
                <w:szCs w:val="28"/>
              </w:rPr>
              <w:t>响应截止日后</w:t>
            </w:r>
            <w:r>
              <w:rPr>
                <w:rFonts w:ascii="仿宋_GB2312" w:hAnsi="仿宋_GB2312" w:eastAsia="仿宋_GB2312"/>
                <w:sz w:val="28"/>
                <w:szCs w:val="28"/>
              </w:rPr>
              <w:t>90</w:t>
            </w:r>
            <w:r>
              <w:rPr>
                <w:rFonts w:hint="eastAsia" w:ascii="仿宋_GB2312" w:hAnsi="仿宋_GB2312" w:eastAsia="仿宋_GB2312"/>
                <w:sz w:val="28"/>
                <w:szCs w:val="28"/>
              </w:rPr>
              <w:t>日内有效</w:t>
            </w:r>
          </w:p>
        </w:tc>
      </w:tr>
      <w:tr w14:paraId="7A235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4" w:hRule="atLeast"/>
          <w:jc w:val="center"/>
        </w:trPr>
        <w:tc>
          <w:tcPr>
            <w:tcW w:w="2262" w:type="dxa"/>
            <w:tcBorders>
              <w:left w:val="double" w:color="auto" w:sz="4" w:space="0"/>
            </w:tcBorders>
            <w:vAlign w:val="center"/>
          </w:tcPr>
          <w:p w14:paraId="03A498B4">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w:t>
            </w:r>
          </w:p>
          <w:p w14:paraId="0AADEA7C">
            <w:pPr>
              <w:jc w:val="center"/>
              <w:rPr>
                <w:rFonts w:ascii="仿宋_GB2312" w:hAnsi="仿宋_GB2312" w:eastAsia="仿宋_GB2312"/>
                <w:sz w:val="28"/>
                <w:szCs w:val="28"/>
              </w:rPr>
            </w:pPr>
            <w:r>
              <w:rPr>
                <w:rFonts w:hint="eastAsia" w:ascii="仿宋_GB2312" w:hAnsi="仿宋_GB2312" w:eastAsia="仿宋_GB2312"/>
                <w:sz w:val="28"/>
                <w:szCs w:val="28"/>
                <w:lang w:val="en-US" w:eastAsia="zh-CN"/>
              </w:rPr>
              <w:t>接收截至</w:t>
            </w:r>
            <w:r>
              <w:rPr>
                <w:rFonts w:hint="eastAsia" w:ascii="仿宋_GB2312" w:hAnsi="仿宋_GB2312" w:eastAsia="仿宋_GB2312"/>
                <w:sz w:val="28"/>
                <w:szCs w:val="28"/>
              </w:rPr>
              <w:t>时间</w:t>
            </w:r>
          </w:p>
        </w:tc>
        <w:tc>
          <w:tcPr>
            <w:tcW w:w="7310" w:type="dxa"/>
            <w:gridSpan w:val="3"/>
            <w:tcBorders>
              <w:right w:val="double" w:color="auto" w:sz="4" w:space="0"/>
            </w:tcBorders>
            <w:vAlign w:val="center"/>
          </w:tcPr>
          <w:p w14:paraId="5F0BB3A9">
            <w:pPr>
              <w:adjustRightInd w:val="0"/>
              <w:snapToGrid w:val="0"/>
              <w:spacing w:line="300" w:lineRule="auto"/>
              <w:jc w:val="left"/>
              <w:rPr>
                <w:rFonts w:hint="eastAsia" w:ascii="仿宋_GB2312" w:hAnsi="仿宋_GB2312" w:eastAsia="仿宋_GB2312"/>
                <w:sz w:val="28"/>
                <w:szCs w:val="28"/>
              </w:rPr>
            </w:pPr>
            <w:r>
              <w:rPr>
                <w:rFonts w:hint="eastAsia" w:ascii="仿宋_GB2312" w:hAnsi="仿宋_GB2312" w:eastAsia="仿宋_GB2312"/>
                <w:sz w:val="28"/>
                <w:szCs w:val="28"/>
              </w:rPr>
              <w:t>响应文件接收</w:t>
            </w:r>
            <w:r>
              <w:rPr>
                <w:rFonts w:hint="eastAsia" w:ascii="仿宋_GB2312" w:hAnsi="仿宋_GB2312" w:eastAsia="仿宋_GB2312"/>
                <w:sz w:val="28"/>
                <w:szCs w:val="28"/>
                <w:lang w:val="en-US" w:eastAsia="zh-CN"/>
              </w:rPr>
              <w:t>截至</w:t>
            </w:r>
            <w:r>
              <w:rPr>
                <w:rFonts w:hint="eastAsia" w:ascii="仿宋_GB2312" w:hAnsi="仿宋_GB2312" w:eastAsia="仿宋_GB2312"/>
                <w:sz w:val="28"/>
                <w:szCs w:val="28"/>
              </w:rPr>
              <w:t>时间：202</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4</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23</w:t>
            </w:r>
            <w:r>
              <w:rPr>
                <w:rFonts w:hint="eastAsia" w:ascii="仿宋_GB2312" w:hAnsi="仿宋_GB2312" w:eastAsia="仿宋_GB2312"/>
                <w:sz w:val="28"/>
                <w:szCs w:val="28"/>
              </w:rPr>
              <w:t>日1</w:t>
            </w:r>
            <w:r>
              <w:rPr>
                <w:rFonts w:hint="eastAsia" w:ascii="仿宋_GB2312" w:hAnsi="仿宋_GB2312" w:eastAsia="仿宋_GB2312"/>
                <w:sz w:val="28"/>
                <w:szCs w:val="28"/>
                <w:lang w:val="en-US" w:eastAsia="zh-CN"/>
              </w:rPr>
              <w:t>7：00</w:t>
            </w:r>
            <w:r>
              <w:rPr>
                <w:rFonts w:hint="eastAsia" w:ascii="仿宋_GB2312" w:hAnsi="仿宋_GB2312" w:eastAsia="仿宋_GB2312"/>
                <w:sz w:val="28"/>
                <w:szCs w:val="28"/>
              </w:rPr>
              <w:t>；逾期不候。</w:t>
            </w:r>
          </w:p>
          <w:p w14:paraId="5EF839DA">
            <w:pPr>
              <w:adjustRightInd w:val="0"/>
              <w:snapToGrid w:val="0"/>
              <w:spacing w:line="300" w:lineRule="auto"/>
              <w:jc w:val="left"/>
              <w:rPr>
                <w:rFonts w:hint="eastAsia" w:ascii="仿宋_GB2312" w:hAnsi="仿宋_GB2312" w:eastAsia="仿宋_GB2312"/>
                <w:sz w:val="28"/>
                <w:szCs w:val="28"/>
              </w:rPr>
            </w:pPr>
            <w:r>
              <w:rPr>
                <w:rFonts w:hint="eastAsia" w:ascii="仿宋_GB2312" w:hAnsi="仿宋_GB2312" w:eastAsia="仿宋_GB2312"/>
                <w:sz w:val="28"/>
                <w:szCs w:val="28"/>
              </w:rPr>
              <w:t>响应文件接收地点：南京大学仙林校区游泳馆一楼物业</w:t>
            </w:r>
            <w:r>
              <w:rPr>
                <w:rFonts w:hint="eastAsia" w:ascii="仿宋_GB2312" w:hAnsi="仿宋_GB2312" w:eastAsia="仿宋_GB2312"/>
                <w:sz w:val="28"/>
                <w:szCs w:val="28"/>
                <w:lang w:val="en-US" w:eastAsia="zh-CN"/>
              </w:rPr>
              <w:t>行政部</w:t>
            </w:r>
            <w:r>
              <w:rPr>
                <w:rFonts w:hint="eastAsia" w:ascii="仿宋_GB2312" w:hAnsi="仿宋_GB2312" w:eastAsia="仿宋_GB2312"/>
                <w:sz w:val="28"/>
                <w:szCs w:val="28"/>
              </w:rPr>
              <w:t>。</w:t>
            </w:r>
          </w:p>
          <w:p w14:paraId="3980AF81">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响应文件要求：档案袋密封盖章。</w:t>
            </w:r>
          </w:p>
        </w:tc>
      </w:tr>
    </w:tbl>
    <w:p w14:paraId="1EC2815A">
      <w:pPr>
        <w:spacing w:line="360" w:lineRule="auto"/>
        <w:rPr>
          <w:rFonts w:ascii="仿宋_GB2312" w:hAnsi="仿宋_GB2312" w:eastAsia="仿宋_GB2312"/>
        </w:rPr>
        <w:sectPr>
          <w:footerReference r:id="rId3" w:type="default"/>
          <w:footerReference r:id="rId4" w:type="even"/>
          <w:pgSz w:w="11906" w:h="16838"/>
          <w:pgMar w:top="1418" w:right="1826" w:bottom="1418" w:left="1797" w:header="851" w:footer="992" w:gutter="0"/>
          <w:cols w:space="720" w:num="1"/>
          <w:formProt w:val="0"/>
          <w:docGrid w:linePitch="326" w:charSpace="-4301"/>
        </w:sectPr>
      </w:pPr>
    </w:p>
    <w:p w14:paraId="5669DB8E">
      <w:pPr>
        <w:adjustRightInd w:val="0"/>
        <w:snapToGrid w:val="0"/>
        <w:spacing w:line="300" w:lineRule="auto"/>
        <w:jc w:val="center"/>
        <w:rPr>
          <w:rFonts w:ascii="仿宋_GB2312" w:hAnsi="仿宋_GB2312" w:eastAsia="仿宋_GB2312"/>
          <w:b/>
          <w:sz w:val="32"/>
          <w:szCs w:val="32"/>
        </w:rPr>
      </w:pPr>
      <w:r>
        <w:rPr>
          <w:rFonts w:hint="eastAsia" w:ascii="仿宋_GB2312" w:hAnsi="仿宋_GB2312" w:eastAsia="仿宋_GB2312"/>
          <w:b/>
          <w:snapToGrid w:val="0"/>
          <w:sz w:val="32"/>
          <w:szCs w:val="32"/>
        </w:rPr>
        <w:t>一、总 则</w:t>
      </w:r>
    </w:p>
    <w:p w14:paraId="3618ADCE">
      <w:pPr>
        <w:snapToGrid w:val="0"/>
        <w:spacing w:line="288" w:lineRule="auto"/>
        <w:ind w:firstLine="422" w:firstLineChars="200"/>
        <w:rPr>
          <w:rFonts w:hint="eastAsia" w:ascii="仿宋_GB2312" w:hAnsi="仿宋_GB2312" w:eastAsia="仿宋_GB2312"/>
          <w:b/>
          <w:sz w:val="24"/>
        </w:rPr>
      </w:pPr>
      <w:r>
        <w:rPr>
          <w:rFonts w:hint="eastAsia" w:ascii="仿宋_GB2312" w:hAnsi="仿宋_GB2312" w:eastAsia="仿宋_GB2312"/>
          <w:b/>
        </w:rPr>
        <w:t>（</w:t>
      </w:r>
      <w:r>
        <w:rPr>
          <w:rFonts w:hint="eastAsia" w:ascii="仿宋_GB2312" w:hAnsi="仿宋_GB2312" w:eastAsia="仿宋_GB2312"/>
          <w:b/>
          <w:sz w:val="24"/>
        </w:rPr>
        <w:t>一）供应商的资格和资质要求</w:t>
      </w:r>
    </w:p>
    <w:p w14:paraId="188023E4">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1、为履行采购文件的目的，供应商必须具有相应的资质和资格。</w:t>
      </w:r>
    </w:p>
    <w:p w14:paraId="7D9A2426">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2、供应商应提供资质文件，以证明其符合响应条件，具有被授予合同的资格和履行合同的能力。为此，所提交的响应文件中须至少包括下列资料：</w:t>
      </w:r>
    </w:p>
    <w:p w14:paraId="41608281">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bCs/>
          <w:sz w:val="24"/>
        </w:rPr>
        <w:t>（1）企业营业执照复印件；</w:t>
      </w:r>
    </w:p>
    <w:p w14:paraId="19FA8D87">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bCs/>
          <w:sz w:val="24"/>
        </w:rPr>
        <w:t>（2）开户银行许可证或银行出具的基本存款账户信息复印件加盖公章；</w:t>
      </w:r>
    </w:p>
    <w:p w14:paraId="669FE63A">
      <w:pPr>
        <w:snapToGrid w:val="0"/>
        <w:spacing w:line="288" w:lineRule="auto"/>
        <w:ind w:firstLine="482" w:firstLineChars="200"/>
        <w:rPr>
          <w:rFonts w:ascii="仿宋_GB2312" w:hAnsi="仿宋_GB2312" w:eastAsia="仿宋_GB2312"/>
          <w:sz w:val="24"/>
        </w:rPr>
      </w:pPr>
      <w:r>
        <w:rPr>
          <w:rFonts w:hint="eastAsia" w:ascii="仿宋_GB2312" w:hAnsi="仿宋_GB2312" w:eastAsia="仿宋_GB2312"/>
          <w:b/>
          <w:bCs/>
          <w:sz w:val="24"/>
        </w:rPr>
        <w:t>（</w:t>
      </w:r>
      <w:r>
        <w:rPr>
          <w:rFonts w:ascii="仿宋_GB2312" w:hAnsi="仿宋_GB2312" w:eastAsia="仿宋_GB2312"/>
          <w:b/>
          <w:bCs/>
          <w:sz w:val="24"/>
        </w:rPr>
        <w:t>3</w:t>
      </w:r>
      <w:r>
        <w:rPr>
          <w:rFonts w:hint="eastAsia" w:ascii="仿宋_GB2312" w:hAnsi="仿宋_GB2312" w:eastAsia="仿宋_GB2312"/>
          <w:b/>
          <w:bCs/>
          <w:sz w:val="24"/>
        </w:rPr>
        <w:t>）以下资格证明文件中的一种</w:t>
      </w:r>
      <w:r>
        <w:rPr>
          <w:rFonts w:hint="eastAsia" w:ascii="仿宋_GB2312" w:hAnsi="仿宋_GB2312" w:eastAsia="仿宋_GB2312"/>
          <w:sz w:val="24"/>
        </w:rPr>
        <w:t>：</w:t>
      </w:r>
    </w:p>
    <w:p w14:paraId="4D9014F0">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法定代表人直接参与响应的，提供法定代表人资格证明书和法定代表人身份证复印件</w:t>
      </w:r>
      <w:r>
        <w:rPr>
          <w:rFonts w:hint="eastAsia" w:ascii="仿宋_GB2312" w:hAnsi="仿宋_GB2312" w:eastAsia="仿宋_GB2312"/>
          <w:sz w:val="24"/>
          <w:lang w:val="en-US" w:eastAsia="zh-CN"/>
        </w:rPr>
        <w:t>加盖公章</w:t>
      </w:r>
      <w:r>
        <w:rPr>
          <w:rFonts w:hint="eastAsia" w:ascii="仿宋_GB2312" w:hAnsi="仿宋_GB2312" w:eastAsia="仿宋_GB2312"/>
          <w:sz w:val="24"/>
        </w:rPr>
        <w:t>；</w:t>
      </w:r>
    </w:p>
    <w:p w14:paraId="3356A9FC">
      <w:pPr>
        <w:snapToGrid w:val="0"/>
        <w:spacing w:line="288" w:lineRule="auto"/>
        <w:ind w:firstLine="480" w:firstLineChars="200"/>
        <w:rPr>
          <w:rFonts w:hint="eastAsia" w:ascii="仿宋_GB2312" w:hAnsi="仿宋_GB2312" w:eastAsia="仿宋_GB2312"/>
          <w:b/>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非法定代表人直接参与响应的，提供法人授权委托书及法定代表人、授权代表身份证复印件</w:t>
      </w:r>
      <w:r>
        <w:rPr>
          <w:rFonts w:hint="eastAsia" w:ascii="仿宋_GB2312" w:hAnsi="仿宋_GB2312" w:eastAsia="仿宋_GB2312"/>
          <w:sz w:val="24"/>
          <w:lang w:val="en-US" w:eastAsia="zh-CN"/>
        </w:rPr>
        <w:t>加盖公章</w:t>
      </w:r>
      <w:r>
        <w:rPr>
          <w:rFonts w:hint="eastAsia" w:ascii="仿宋_GB2312" w:hAnsi="仿宋_GB2312" w:eastAsia="仿宋_GB2312"/>
          <w:sz w:val="24"/>
        </w:rPr>
        <w:t>；</w:t>
      </w:r>
      <w:r>
        <w:rPr>
          <w:rFonts w:ascii="仿宋_GB2312" w:hAnsi="仿宋_GB2312" w:eastAsia="仿宋_GB2312"/>
          <w:sz w:val="24"/>
        </w:rPr>
        <w:t xml:space="preserve"> </w:t>
      </w:r>
    </w:p>
    <w:p w14:paraId="1AFC40D9">
      <w:pPr>
        <w:numPr>
          <w:ilvl w:val="0"/>
          <w:numId w:val="1"/>
        </w:numPr>
        <w:ind w:firstLine="480" w:firstLineChars="200"/>
        <w:rPr>
          <w:rFonts w:hint="eastAsia" w:ascii="仿宋_GB2312" w:hAnsi="仿宋_GB2312" w:eastAsia="仿宋_GB2312" w:cs="Times New Roman"/>
          <w:b w:val="0"/>
          <w:bCs/>
          <w:kern w:val="2"/>
          <w:sz w:val="24"/>
          <w:szCs w:val="24"/>
          <w:lang w:val="en-US" w:eastAsia="zh-CN" w:bidi="ar-SA"/>
        </w:rPr>
      </w:pPr>
      <w:r>
        <w:rPr>
          <w:rFonts w:hint="eastAsia" w:ascii="仿宋_GB2312" w:hAnsi="仿宋_GB2312" w:eastAsia="仿宋_GB2312" w:cs="Times New Roman"/>
          <w:b w:val="0"/>
          <w:bCs/>
          <w:kern w:val="2"/>
          <w:sz w:val="24"/>
          <w:szCs w:val="24"/>
          <w:lang w:val="en-US" w:eastAsia="zh-CN" w:bidi="ar-SA"/>
        </w:rPr>
        <w:t>经金融监管部门批准设立，在江苏省内具有保险经营资质的保险公司法人机构或保险公司法人机构授权的省市级分公司，且具有良好的商业信誉、健全的财务会计制度、独立承担民事责任、独立订立合同的能力。</w:t>
      </w:r>
    </w:p>
    <w:p w14:paraId="3DB1749B">
      <w:pPr>
        <w:pStyle w:val="4"/>
        <w:numPr>
          <w:ilvl w:val="0"/>
          <w:numId w:val="0"/>
        </w:numPr>
        <w:rPr>
          <w:rFonts w:hint="default" w:ascii="仿宋_GB2312" w:hAnsi="仿宋_GB2312" w:eastAsia="仿宋_GB2312" w:cs="Times New Roman"/>
          <w:b w:val="0"/>
          <w:bCs/>
          <w:kern w:val="2"/>
          <w:sz w:val="24"/>
          <w:szCs w:val="24"/>
          <w:lang w:val="en-US" w:eastAsia="zh-CN" w:bidi="ar-SA"/>
        </w:rPr>
      </w:pPr>
      <w:r>
        <w:rPr>
          <w:rFonts w:hint="eastAsia" w:ascii="仿宋_GB2312" w:hAnsi="仿宋_GB2312" w:eastAsia="仿宋_GB2312" w:cs="Times New Roman"/>
          <w:b w:val="0"/>
          <w:bCs/>
          <w:kern w:val="2"/>
          <w:sz w:val="24"/>
          <w:szCs w:val="24"/>
          <w:lang w:val="en-US" w:eastAsia="zh-CN" w:bidi="ar-SA"/>
        </w:rPr>
        <w:t xml:space="preserve">    4、投标人具有国家金融监督管理总局（原中国银行保险监督管理委员会）颁发的有效期内《经营保险业务许可证》或国家权威机构颁发的批准从事相关保险业务的证明文件（提供《经营保险业务许可证》或相关证明材料扫描件）。</w:t>
      </w:r>
    </w:p>
    <w:p w14:paraId="71E8CDBD">
      <w:pPr>
        <w:ind w:firstLine="480" w:firstLineChars="200"/>
        <w:rPr>
          <w:rFonts w:hint="eastAsia" w:ascii="仿宋_GB2312" w:hAnsi="仿宋_GB2312" w:eastAsia="仿宋_GB2312" w:cs="Times New Roman"/>
          <w:b w:val="0"/>
          <w:bCs/>
          <w:kern w:val="2"/>
          <w:sz w:val="24"/>
          <w:szCs w:val="24"/>
          <w:lang w:val="en-US" w:eastAsia="zh-CN" w:bidi="ar-SA"/>
        </w:rPr>
      </w:pPr>
      <w:r>
        <w:rPr>
          <w:rFonts w:hint="eastAsia" w:ascii="仿宋_GB2312" w:hAnsi="仿宋_GB2312" w:eastAsia="仿宋_GB2312" w:cs="Times New Roman"/>
          <w:b w:val="0"/>
          <w:bCs/>
          <w:kern w:val="2"/>
          <w:sz w:val="24"/>
          <w:szCs w:val="24"/>
          <w:lang w:val="en-US" w:eastAsia="zh-CN" w:bidi="ar-SA"/>
        </w:rPr>
        <w:t>5、供应商不得有下列行为：</w:t>
      </w:r>
    </w:p>
    <w:p w14:paraId="59BE8416">
      <w:pPr>
        <w:ind w:firstLine="480" w:firstLineChars="200"/>
        <w:rPr>
          <w:rFonts w:hint="eastAsia" w:ascii="仿宋_GB2312" w:hAnsi="仿宋_GB2312" w:eastAsia="仿宋_GB2312" w:cs="Times New Roman"/>
          <w:b w:val="0"/>
          <w:bCs/>
          <w:kern w:val="2"/>
          <w:sz w:val="24"/>
          <w:szCs w:val="24"/>
          <w:lang w:val="en-US" w:eastAsia="zh-CN" w:bidi="ar-SA"/>
        </w:rPr>
      </w:pPr>
      <w:r>
        <w:rPr>
          <w:rFonts w:hint="eastAsia" w:ascii="仿宋_GB2312" w:hAnsi="仿宋_GB2312" w:eastAsia="仿宋_GB2312" w:cs="Times New Roman"/>
          <w:b w:val="0"/>
          <w:bCs/>
          <w:kern w:val="2"/>
          <w:sz w:val="24"/>
          <w:szCs w:val="24"/>
          <w:lang w:val="en-US" w:eastAsia="zh-CN" w:bidi="ar-SA"/>
        </w:rPr>
        <w:t>①三年内，在经营活动中没有重大违法记录，没有因违法经营受到刑事处罚或者责令停产停业、吊销许可证或者执照等行政处罚。</w:t>
      </w:r>
    </w:p>
    <w:p w14:paraId="4F713960">
      <w:pPr>
        <w:ind w:firstLine="480" w:firstLineChars="200"/>
        <w:rPr>
          <w:rFonts w:hint="eastAsia" w:ascii="仿宋_GB2312" w:hAnsi="仿宋_GB2312" w:eastAsia="仿宋_GB2312" w:cs="Times New Roman"/>
          <w:b w:val="0"/>
          <w:bCs/>
          <w:kern w:val="2"/>
          <w:sz w:val="24"/>
          <w:szCs w:val="24"/>
          <w:lang w:val="en-US" w:eastAsia="zh-CN" w:bidi="ar-SA"/>
        </w:rPr>
      </w:pPr>
      <w:r>
        <w:rPr>
          <w:rFonts w:hint="eastAsia" w:ascii="仿宋_GB2312" w:hAnsi="仿宋_GB2312" w:eastAsia="仿宋_GB2312" w:cs="Times New Roman"/>
          <w:b w:val="0"/>
          <w:bCs/>
          <w:kern w:val="2"/>
          <w:sz w:val="24"/>
          <w:szCs w:val="24"/>
          <w:lang w:val="en-US" w:eastAsia="zh-CN" w:bidi="ar-SA"/>
        </w:rPr>
        <w:t>②2023年3月1日起至今被国家财政部指定的信用记录查询渠道（“信用中国”网站www.creditchina.gov.cn）列入失信被执行主体、重大税收违法案件当事主体、政府采购严重违法失信行为当事主体等严重失信记录名单的。</w:t>
      </w:r>
    </w:p>
    <w:p w14:paraId="0EE999A2">
      <w:pPr>
        <w:ind w:firstLine="480" w:firstLineChars="200"/>
        <w:rPr>
          <w:rFonts w:hint="eastAsia" w:ascii="仿宋_GB2312" w:hAnsi="仿宋_GB2312" w:eastAsia="仿宋_GB2312" w:cs="Times New Roman"/>
          <w:b w:val="0"/>
          <w:bCs/>
          <w:kern w:val="2"/>
          <w:sz w:val="24"/>
          <w:szCs w:val="24"/>
          <w:lang w:val="en-US" w:eastAsia="zh-CN" w:bidi="ar-SA"/>
        </w:rPr>
      </w:pPr>
      <w:r>
        <w:rPr>
          <w:rFonts w:hint="eastAsia" w:ascii="仿宋_GB2312" w:hAnsi="仿宋_GB2312" w:eastAsia="仿宋_GB2312" w:cs="Times New Roman"/>
          <w:b w:val="0"/>
          <w:bCs/>
          <w:kern w:val="2"/>
          <w:sz w:val="24"/>
          <w:szCs w:val="24"/>
          <w:lang w:val="en-US" w:eastAsia="zh-CN" w:bidi="ar-SA"/>
        </w:rPr>
        <w:t>6、法定代表人为同一个人的两个及两个以上法人，母公司、全资子公司及其控股公司，都不得同时参与，否则取消其参与资格。</w:t>
      </w:r>
    </w:p>
    <w:p w14:paraId="10C57F7D">
      <w:pPr>
        <w:ind w:firstLine="480" w:firstLineChars="200"/>
        <w:rPr>
          <w:rFonts w:hint="default" w:ascii="仿宋_GB2312" w:hAnsi="仿宋_GB2312" w:eastAsia="仿宋_GB2312"/>
          <w:sz w:val="24"/>
          <w:lang w:val="en-US"/>
        </w:rPr>
      </w:pPr>
      <w:r>
        <w:rPr>
          <w:rFonts w:hint="eastAsia" w:ascii="仿宋_GB2312" w:hAnsi="仿宋_GB2312" w:eastAsia="仿宋_GB2312" w:cs="Times New Roman"/>
          <w:b w:val="0"/>
          <w:bCs/>
          <w:kern w:val="2"/>
          <w:sz w:val="24"/>
          <w:szCs w:val="24"/>
          <w:lang w:val="en-US" w:eastAsia="zh-CN" w:bidi="ar-SA"/>
        </w:rPr>
        <w:t>7、保险综合偿付能力充足率不低于150%。</w:t>
      </w:r>
    </w:p>
    <w:p w14:paraId="28CE222A">
      <w:pPr>
        <w:pStyle w:val="7"/>
        <w:snapToGrid w:val="0"/>
        <w:spacing w:line="288" w:lineRule="auto"/>
        <w:ind w:firstLine="480"/>
        <w:rPr>
          <w:rFonts w:ascii="仿宋_GB2312" w:hAnsi="仿宋_GB2312" w:eastAsia="仿宋_GB2312"/>
          <w:b w:val="0"/>
        </w:rPr>
      </w:pPr>
      <w:r>
        <w:rPr>
          <w:rFonts w:hint="eastAsia" w:ascii="仿宋_GB2312" w:hAnsi="仿宋_GB2312" w:eastAsia="仿宋_GB2312"/>
          <w:b w:val="0"/>
          <w:lang w:val="en-US" w:eastAsia="zh-CN"/>
        </w:rPr>
        <w:t>8</w:t>
      </w:r>
      <w:r>
        <w:rPr>
          <w:rFonts w:hint="eastAsia" w:ascii="仿宋_GB2312" w:hAnsi="仿宋_GB2312" w:eastAsia="仿宋_GB2312"/>
          <w:b w:val="0"/>
        </w:rPr>
        <w:t>、供应商应承担其编制响应文件与递交响应文件所涉及的一切费用。不管响应结果如何，采购人对上述费用不负任何责任。</w:t>
      </w:r>
    </w:p>
    <w:p w14:paraId="07017031">
      <w:pPr>
        <w:snapToGrid w:val="0"/>
        <w:spacing w:line="288" w:lineRule="auto"/>
        <w:ind w:firstLine="480" w:firstLineChars="200"/>
        <w:rPr>
          <w:rFonts w:hint="eastAsia" w:ascii="仿宋_GB2312" w:hAnsi="仿宋_GB2312" w:eastAsia="仿宋_GB2312"/>
          <w:sz w:val="24"/>
          <w:lang w:eastAsia="zh-CN"/>
        </w:rPr>
      </w:pPr>
      <w:r>
        <w:rPr>
          <w:rFonts w:hint="eastAsia" w:ascii="仿宋_GB2312" w:hAnsi="仿宋_GB2312" w:eastAsia="仿宋_GB2312"/>
          <w:sz w:val="24"/>
          <w:lang w:val="en-US" w:eastAsia="zh-CN"/>
        </w:rPr>
        <w:t>9</w:t>
      </w:r>
      <w:r>
        <w:rPr>
          <w:rFonts w:hint="eastAsia" w:ascii="仿宋_GB2312" w:hAnsi="仿宋_GB2312" w:eastAsia="仿宋_GB2312"/>
          <w:sz w:val="24"/>
        </w:rPr>
        <w:t>、本项目不接受联合体响应</w:t>
      </w:r>
      <w:r>
        <w:rPr>
          <w:rFonts w:hint="eastAsia" w:ascii="仿宋_GB2312" w:hAnsi="仿宋_GB2312" w:eastAsia="仿宋_GB2312"/>
          <w:sz w:val="24"/>
          <w:lang w:eastAsia="zh-CN"/>
        </w:rPr>
        <w:t>，</w:t>
      </w:r>
      <w:r>
        <w:rPr>
          <w:rFonts w:hint="eastAsia" w:ascii="仿宋_GB2312" w:hAnsi="仿宋_GB2312" w:eastAsia="仿宋_GB2312" w:cs="Times New Roman"/>
          <w:b w:val="0"/>
          <w:bCs/>
          <w:kern w:val="2"/>
          <w:sz w:val="24"/>
          <w:szCs w:val="24"/>
          <w:lang w:val="en-US" w:eastAsia="zh-CN" w:bidi="ar-SA"/>
        </w:rPr>
        <w:t>不允许转包、分包。</w:t>
      </w:r>
    </w:p>
    <w:p w14:paraId="18227B13">
      <w:pPr>
        <w:pStyle w:val="7"/>
        <w:snapToGrid w:val="0"/>
        <w:spacing w:line="288" w:lineRule="auto"/>
        <w:ind w:left="0" w:leftChars="0" w:firstLine="0" w:firstLineChars="0"/>
        <w:rPr>
          <w:rFonts w:ascii="仿宋_GB2312" w:hAnsi="仿宋_GB2312" w:eastAsia="仿宋_GB2312"/>
          <w:b w:val="0"/>
        </w:rPr>
      </w:pPr>
    </w:p>
    <w:p w14:paraId="1B0B5E0F">
      <w:pPr>
        <w:pStyle w:val="7"/>
        <w:snapToGrid w:val="0"/>
        <w:spacing w:line="288" w:lineRule="auto"/>
        <w:ind w:firstLine="480"/>
        <w:rPr>
          <w:rFonts w:ascii="仿宋_GB2312" w:hAnsi="仿宋_GB2312" w:eastAsia="仿宋_GB2312"/>
          <w:b w:val="0"/>
        </w:rPr>
      </w:pPr>
    </w:p>
    <w:p w14:paraId="29A140DC">
      <w:pPr>
        <w:pStyle w:val="7"/>
        <w:snapToGrid w:val="0"/>
        <w:spacing w:line="288" w:lineRule="auto"/>
        <w:ind w:firstLine="480"/>
        <w:rPr>
          <w:rFonts w:ascii="仿宋_GB2312" w:hAnsi="仿宋_GB2312" w:eastAsia="仿宋_GB2312"/>
          <w:b w:val="0"/>
        </w:rPr>
      </w:pPr>
    </w:p>
    <w:p w14:paraId="3D8B799A">
      <w:pPr>
        <w:pStyle w:val="7"/>
        <w:snapToGrid w:val="0"/>
        <w:spacing w:line="288" w:lineRule="auto"/>
        <w:ind w:firstLine="480"/>
        <w:rPr>
          <w:rFonts w:ascii="仿宋_GB2312" w:hAnsi="仿宋_GB2312" w:eastAsia="仿宋_GB2312"/>
          <w:b w:val="0"/>
        </w:rPr>
      </w:pPr>
    </w:p>
    <w:p w14:paraId="4EB05F65">
      <w:pPr>
        <w:pStyle w:val="7"/>
        <w:snapToGrid w:val="0"/>
        <w:spacing w:line="288" w:lineRule="auto"/>
        <w:ind w:firstLine="480"/>
        <w:rPr>
          <w:rFonts w:ascii="仿宋_GB2312" w:hAnsi="仿宋_GB2312" w:eastAsia="仿宋_GB2312"/>
          <w:b w:val="0"/>
        </w:rPr>
      </w:pPr>
    </w:p>
    <w:p w14:paraId="52894B1C">
      <w:pPr>
        <w:pStyle w:val="7"/>
        <w:snapToGrid w:val="0"/>
        <w:spacing w:line="288" w:lineRule="auto"/>
        <w:ind w:firstLine="480"/>
        <w:rPr>
          <w:rFonts w:ascii="仿宋_GB2312" w:hAnsi="仿宋_GB2312" w:eastAsia="仿宋_GB2312"/>
          <w:b w:val="0"/>
        </w:rPr>
      </w:pPr>
    </w:p>
    <w:p w14:paraId="5B0485DC">
      <w:pPr>
        <w:pStyle w:val="7"/>
        <w:snapToGrid w:val="0"/>
        <w:spacing w:line="288" w:lineRule="auto"/>
        <w:ind w:firstLine="480"/>
        <w:rPr>
          <w:rFonts w:ascii="仿宋_GB2312" w:hAnsi="仿宋_GB2312" w:eastAsia="仿宋_GB2312"/>
          <w:b w:val="0"/>
        </w:rPr>
      </w:pPr>
    </w:p>
    <w:p w14:paraId="42AD8309">
      <w:pPr>
        <w:pStyle w:val="7"/>
        <w:snapToGrid w:val="0"/>
        <w:spacing w:line="288" w:lineRule="auto"/>
        <w:ind w:firstLine="480"/>
        <w:rPr>
          <w:rFonts w:ascii="仿宋_GB2312" w:hAnsi="仿宋_GB2312" w:eastAsia="仿宋_GB2312"/>
          <w:b w:val="0"/>
        </w:rPr>
      </w:pPr>
    </w:p>
    <w:p w14:paraId="68ED9F05">
      <w:pPr>
        <w:pStyle w:val="7"/>
        <w:snapToGrid w:val="0"/>
        <w:spacing w:line="288" w:lineRule="auto"/>
        <w:ind w:firstLine="480"/>
        <w:rPr>
          <w:rFonts w:ascii="仿宋_GB2312" w:hAnsi="仿宋_GB2312" w:eastAsia="仿宋_GB2312"/>
          <w:b w:val="0"/>
        </w:rPr>
      </w:pPr>
    </w:p>
    <w:p w14:paraId="47D66B3D">
      <w:pPr>
        <w:pStyle w:val="7"/>
        <w:snapToGrid w:val="0"/>
        <w:spacing w:line="288" w:lineRule="auto"/>
        <w:ind w:firstLine="480"/>
        <w:rPr>
          <w:rFonts w:ascii="仿宋_GB2312" w:hAnsi="仿宋_GB2312" w:eastAsia="仿宋_GB2312"/>
          <w:b w:val="0"/>
        </w:rPr>
      </w:pPr>
    </w:p>
    <w:p w14:paraId="1E2425D1">
      <w:pPr>
        <w:pStyle w:val="6"/>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rPr>
        <w:t>二、响应报价</w:t>
      </w:r>
    </w:p>
    <w:p w14:paraId="6BCB7786">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sz w:val="24"/>
        </w:rPr>
        <w:t>（一）</w:t>
      </w:r>
      <w:r>
        <w:rPr>
          <w:rFonts w:hint="eastAsia" w:ascii="仿宋_GB2312" w:hAnsi="仿宋_GB2312" w:eastAsia="仿宋_GB2312"/>
          <w:b/>
          <w:bCs/>
          <w:sz w:val="24"/>
        </w:rPr>
        <w:t>采购内容和要求</w:t>
      </w:r>
    </w:p>
    <w:p w14:paraId="77B53D26">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1、采购内容：</w:t>
      </w:r>
      <w:r>
        <w:rPr>
          <w:rFonts w:hint="eastAsia" w:ascii="仿宋_GB2312" w:hAnsi="仿宋_GB2312" w:eastAsia="仿宋_GB2312"/>
          <w:bCs/>
          <w:sz w:val="24"/>
          <w:lang w:val="en-US" w:eastAsia="zh-CN"/>
        </w:rPr>
        <w:t>三校区体育场馆及游泳馆公众责任险。</w:t>
      </w:r>
    </w:p>
    <w:p w14:paraId="7EF7C32D">
      <w:pPr>
        <w:snapToGrid w:val="0"/>
        <w:spacing w:line="288" w:lineRule="auto"/>
        <w:ind w:firstLine="480" w:firstLineChars="200"/>
        <w:rPr>
          <w:rFonts w:ascii="仿宋_GB2312" w:hAnsi="仿宋_GB2312" w:eastAsia="仿宋_GB2312"/>
          <w:bCs/>
          <w:sz w:val="24"/>
        </w:rPr>
      </w:pPr>
      <w:r>
        <w:rPr>
          <w:rFonts w:hint="eastAsia" w:ascii="仿宋_GB2312" w:hAnsi="仿宋_GB2312" w:eastAsia="仿宋_GB2312"/>
          <w:sz w:val="24"/>
        </w:rPr>
        <w:t>2、</w:t>
      </w:r>
      <w:r>
        <w:rPr>
          <w:rFonts w:hint="eastAsia" w:ascii="仿宋_GB2312" w:hAnsi="仿宋_GB2312" w:eastAsia="仿宋_GB2312"/>
          <w:bCs/>
          <w:sz w:val="24"/>
        </w:rPr>
        <w:t>响应要求：详见</w:t>
      </w:r>
      <w:r>
        <w:rPr>
          <w:rFonts w:hint="eastAsia" w:ascii="仿宋_GB2312" w:hAnsi="仿宋_GB2312" w:eastAsia="仿宋_GB2312"/>
          <w:bCs/>
          <w:sz w:val="24"/>
          <w:lang w:val="en-US" w:eastAsia="zh-CN"/>
        </w:rPr>
        <w:t>本采购文件项目概况及要求</w:t>
      </w:r>
      <w:r>
        <w:rPr>
          <w:rFonts w:hint="eastAsia" w:ascii="仿宋_GB2312" w:hAnsi="仿宋_GB2312" w:eastAsia="仿宋_GB2312"/>
          <w:bCs/>
          <w:sz w:val="24"/>
        </w:rPr>
        <w:t>。</w:t>
      </w:r>
    </w:p>
    <w:p w14:paraId="0207969A">
      <w:pPr>
        <w:snapToGrid w:val="0"/>
        <w:spacing w:line="288" w:lineRule="auto"/>
        <w:ind w:firstLine="482" w:firstLineChars="200"/>
        <w:rPr>
          <w:rFonts w:ascii="仿宋_GB2312" w:hAnsi="仿宋_GB2312" w:eastAsia="仿宋_GB2312"/>
          <w:b/>
          <w:sz w:val="24"/>
        </w:rPr>
      </w:pPr>
    </w:p>
    <w:p w14:paraId="7829522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w:t>
      </w:r>
      <w:r>
        <w:rPr>
          <w:rFonts w:hint="eastAsia" w:ascii="仿宋_GB2312" w:hAnsi="仿宋_GB2312" w:eastAsia="仿宋_GB2312"/>
          <w:b/>
          <w:sz w:val="24"/>
          <w:lang w:val="en-US" w:eastAsia="zh-CN"/>
        </w:rPr>
        <w:t>服务期限</w:t>
      </w:r>
      <w:r>
        <w:rPr>
          <w:rFonts w:hint="eastAsia" w:ascii="仿宋_GB2312" w:hAnsi="仿宋_GB2312" w:eastAsia="仿宋_GB2312"/>
          <w:b/>
          <w:sz w:val="24"/>
        </w:rPr>
        <w:t>和地点</w:t>
      </w:r>
    </w:p>
    <w:p w14:paraId="6441BBEC">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szCs w:val="28"/>
          <w:lang w:val="en-US" w:eastAsia="zh-CN"/>
        </w:rPr>
        <w:t>服务期限</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自合同签订之日起1年（保单生效之日起至保单失效之日止），具体以保险单载明期限为准。</w:t>
      </w:r>
    </w:p>
    <w:p w14:paraId="48D33329">
      <w:pPr>
        <w:snapToGrid w:val="0"/>
        <w:spacing w:line="288" w:lineRule="auto"/>
        <w:ind w:firstLine="480" w:firstLineChars="200"/>
        <w:rPr>
          <w:rFonts w:hint="default" w:ascii="仿宋_GB2312" w:hAnsi="仿宋_GB2312" w:eastAsia="仿宋_GB2312"/>
          <w:sz w:val="24"/>
          <w:szCs w:val="28"/>
          <w:lang w:val="en-US" w:eastAsia="zh-CN"/>
        </w:rPr>
      </w:pPr>
      <w:r>
        <w:rPr>
          <w:rFonts w:ascii="仿宋_GB2312" w:hAnsi="仿宋_GB2312" w:eastAsia="仿宋_GB2312"/>
          <w:sz w:val="24"/>
          <w:szCs w:val="28"/>
        </w:rPr>
        <w:t>2</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服务</w:t>
      </w:r>
      <w:r>
        <w:rPr>
          <w:rFonts w:hint="eastAsia" w:ascii="仿宋_GB2312" w:hAnsi="仿宋_GB2312" w:eastAsia="仿宋_GB2312"/>
          <w:sz w:val="24"/>
          <w:szCs w:val="28"/>
        </w:rPr>
        <w:t>地点：</w:t>
      </w:r>
      <w:r>
        <w:rPr>
          <w:rFonts w:hint="eastAsia" w:ascii="仿宋_GB2312" w:hAnsi="仿宋_GB2312" w:eastAsia="仿宋_GB2312"/>
          <w:sz w:val="24"/>
          <w:szCs w:val="28"/>
          <w:lang w:val="en-US" w:eastAsia="zh-CN"/>
        </w:rPr>
        <w:t>南京大学鼓楼、仙林、浦口校区。</w:t>
      </w:r>
    </w:p>
    <w:p w14:paraId="695E9158">
      <w:pPr>
        <w:snapToGrid w:val="0"/>
        <w:spacing w:line="288" w:lineRule="auto"/>
        <w:ind w:firstLine="600" w:firstLineChars="250"/>
        <w:rPr>
          <w:rFonts w:ascii="仿宋_GB2312" w:hAnsi="仿宋_GB2312" w:eastAsia="仿宋_GB2312"/>
          <w:sz w:val="24"/>
          <w:szCs w:val="28"/>
        </w:rPr>
      </w:pPr>
    </w:p>
    <w:p w14:paraId="6BFADAEC">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（三）供应商报价</w:t>
      </w:r>
    </w:p>
    <w:p w14:paraId="11AD768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报价是采购文件所确定的全部工作内容的价格体现，除非合同中另有规定，报出的单价及总价，必须包括所供全部材料的生产、运输、货物到达用户指定地点后的卸货、组装及使用过程中的劳力、管理、损耗、材料、包装、动力、检测、售后服务费、保险、利润、税收以及风险费等全部费用。</w:t>
      </w:r>
    </w:p>
    <w:p w14:paraId="46A947B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本次采购，供应商应按采购文件要求编制报价表，报价表必须详细列明所报价格的组成内容，报价应是优惠后的报价，除进口产品外，所有价格全部采用人民币表示。进口产品的价格可采用美元、欧元、英镑、日元、瑞士法郎、港币表示。</w:t>
      </w:r>
    </w:p>
    <w:p w14:paraId="4BC6568D">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同一供应商对同一产品的报价只能采用一种币种报价，但采购文件明确要求的除外。</w:t>
      </w:r>
    </w:p>
    <w:p w14:paraId="1673DC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3、响应报价方式采用固定单价报价。供应商应充分考虑服务期间材料的政策性调整和市场风险，确定风险系数计入总报价。报价确定后不作调整，采购人要求变动的内容除外。结算时单价不变，数量按实结算。</w:t>
      </w:r>
    </w:p>
    <w:p w14:paraId="75EEA252">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4</w:t>
      </w:r>
      <w:r>
        <w:rPr>
          <w:rFonts w:hint="eastAsia" w:ascii="仿宋_GB2312" w:hAnsi="仿宋_GB2312" w:eastAsia="仿宋_GB2312"/>
          <w:sz w:val="24"/>
          <w:szCs w:val="28"/>
        </w:rPr>
        <w:t>、供应商还需提供在正常使用情况下本项目稳定运行必须的备件和材料清单，标明其种类、生产厂商、单价以及采购人后期采购上述备件、材料可享受的优惠折扣。</w:t>
      </w:r>
    </w:p>
    <w:p w14:paraId="5ED60F29">
      <w:pPr>
        <w:pStyle w:val="6"/>
        <w:adjustRightInd w:val="0"/>
        <w:snapToGrid w:val="0"/>
        <w:spacing w:line="288" w:lineRule="auto"/>
        <w:jc w:val="center"/>
        <w:rPr>
          <w:rFonts w:ascii="仿宋_GB2312" w:hAnsi="仿宋_GB2312" w:eastAsia="仿宋_GB2312"/>
          <w:b/>
          <w:sz w:val="32"/>
          <w:szCs w:val="24"/>
        </w:rPr>
      </w:pPr>
    </w:p>
    <w:p w14:paraId="4B67482B">
      <w:pPr>
        <w:pStyle w:val="6"/>
        <w:adjustRightInd w:val="0"/>
        <w:snapToGrid w:val="0"/>
        <w:spacing w:line="288" w:lineRule="auto"/>
        <w:jc w:val="center"/>
        <w:rPr>
          <w:rFonts w:ascii="仿宋_GB2312" w:hAnsi="仿宋_GB2312" w:eastAsia="仿宋_GB2312"/>
          <w:b/>
          <w:sz w:val="32"/>
          <w:szCs w:val="24"/>
        </w:rPr>
      </w:pPr>
    </w:p>
    <w:p w14:paraId="44C036E7">
      <w:pPr>
        <w:pStyle w:val="6"/>
        <w:adjustRightInd w:val="0"/>
        <w:snapToGrid w:val="0"/>
        <w:spacing w:line="288" w:lineRule="auto"/>
        <w:jc w:val="center"/>
        <w:rPr>
          <w:rFonts w:ascii="仿宋_GB2312" w:hAnsi="仿宋_GB2312" w:eastAsia="仿宋_GB2312"/>
          <w:b/>
          <w:sz w:val="32"/>
          <w:szCs w:val="24"/>
        </w:rPr>
      </w:pPr>
    </w:p>
    <w:p w14:paraId="50BF5BD8">
      <w:pPr>
        <w:pStyle w:val="6"/>
        <w:adjustRightInd w:val="0"/>
        <w:snapToGrid w:val="0"/>
        <w:spacing w:line="288" w:lineRule="auto"/>
        <w:jc w:val="center"/>
        <w:rPr>
          <w:rFonts w:ascii="仿宋_GB2312" w:hAnsi="仿宋_GB2312" w:eastAsia="仿宋_GB2312"/>
          <w:b/>
          <w:sz w:val="32"/>
          <w:szCs w:val="24"/>
        </w:rPr>
      </w:pPr>
    </w:p>
    <w:p w14:paraId="29A6B695">
      <w:pPr>
        <w:pStyle w:val="6"/>
        <w:adjustRightInd w:val="0"/>
        <w:snapToGrid w:val="0"/>
        <w:spacing w:line="288" w:lineRule="auto"/>
        <w:jc w:val="center"/>
        <w:rPr>
          <w:rFonts w:ascii="仿宋_GB2312" w:hAnsi="仿宋_GB2312" w:eastAsia="仿宋_GB2312"/>
          <w:b/>
          <w:sz w:val="32"/>
          <w:szCs w:val="24"/>
        </w:rPr>
      </w:pPr>
    </w:p>
    <w:p w14:paraId="32B1E55D">
      <w:pPr>
        <w:pStyle w:val="6"/>
        <w:adjustRightInd w:val="0"/>
        <w:snapToGrid w:val="0"/>
        <w:spacing w:line="288" w:lineRule="auto"/>
        <w:jc w:val="center"/>
        <w:rPr>
          <w:rFonts w:ascii="仿宋_GB2312" w:hAnsi="仿宋_GB2312" w:eastAsia="仿宋_GB2312"/>
          <w:b/>
          <w:sz w:val="32"/>
          <w:szCs w:val="24"/>
        </w:rPr>
      </w:pPr>
    </w:p>
    <w:p w14:paraId="1F5E1AD0">
      <w:pPr>
        <w:pStyle w:val="6"/>
        <w:adjustRightInd w:val="0"/>
        <w:snapToGrid w:val="0"/>
        <w:spacing w:line="288" w:lineRule="auto"/>
        <w:jc w:val="center"/>
        <w:rPr>
          <w:rFonts w:ascii="仿宋_GB2312" w:hAnsi="仿宋_GB2312" w:eastAsia="仿宋_GB2312"/>
          <w:b/>
          <w:sz w:val="32"/>
          <w:szCs w:val="24"/>
        </w:rPr>
      </w:pPr>
    </w:p>
    <w:p w14:paraId="532E523F">
      <w:pPr>
        <w:pStyle w:val="6"/>
        <w:adjustRightInd w:val="0"/>
        <w:snapToGrid w:val="0"/>
        <w:spacing w:line="288" w:lineRule="auto"/>
        <w:jc w:val="center"/>
        <w:rPr>
          <w:rFonts w:ascii="仿宋_GB2312" w:hAnsi="仿宋_GB2312" w:eastAsia="仿宋_GB2312"/>
          <w:b/>
          <w:sz w:val="32"/>
          <w:szCs w:val="24"/>
        </w:rPr>
      </w:pPr>
    </w:p>
    <w:p w14:paraId="579A7B6D">
      <w:pPr>
        <w:widowControl/>
        <w:snapToGrid w:val="0"/>
        <w:spacing w:line="288" w:lineRule="auto"/>
        <w:jc w:val="center"/>
        <w:rPr>
          <w:rFonts w:hint="eastAsia" w:ascii="仿宋_GB2312" w:hAnsi="仿宋_GB2312" w:eastAsia="仿宋_GB2312" w:cs="Times New Roman"/>
          <w:b/>
          <w:kern w:val="2"/>
          <w:sz w:val="32"/>
          <w:szCs w:val="24"/>
          <w:lang w:val="en-US" w:eastAsia="zh-CN" w:bidi="ar-SA"/>
        </w:rPr>
      </w:pPr>
      <w:r>
        <w:rPr>
          <w:rFonts w:hint="eastAsia" w:ascii="仿宋_GB2312" w:hAnsi="仿宋_GB2312" w:eastAsia="仿宋_GB2312" w:cs="Times New Roman"/>
          <w:b/>
          <w:kern w:val="2"/>
          <w:sz w:val="32"/>
          <w:szCs w:val="24"/>
          <w:lang w:val="en-US" w:eastAsia="zh-CN" w:bidi="ar-SA"/>
        </w:rPr>
        <w:t>三、项目概况及要求</w:t>
      </w:r>
    </w:p>
    <w:p w14:paraId="508ECFD6">
      <w:pPr>
        <w:pStyle w:val="27"/>
        <w:ind w:firstLine="480"/>
        <w:rPr>
          <w:color w:val="auto"/>
        </w:rPr>
      </w:pPr>
    </w:p>
    <w:p w14:paraId="3E59A481">
      <w:pPr>
        <w:widowControl/>
        <w:snapToGrid w:val="0"/>
        <w:spacing w:line="288" w:lineRule="auto"/>
        <w:rPr>
          <w:rFonts w:hint="eastAsia"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一、本次采购拟实现的功能和目标</w:t>
      </w:r>
    </w:p>
    <w:p w14:paraId="0D6D0E4A">
      <w:pPr>
        <w:spacing w:line="360" w:lineRule="auto"/>
        <w:ind w:firstLine="480" w:firstLineChars="200"/>
        <w:rPr>
          <w:rFonts w:hint="eastAsia" w:ascii="仿宋_GB2312" w:hAnsi="仿宋_GB2312" w:eastAsia="仿宋_GB2312"/>
          <w:sz w:val="24"/>
          <w:szCs w:val="28"/>
          <w:lang w:val="en-US" w:eastAsia="zh-CN"/>
        </w:rPr>
      </w:pPr>
      <w:r>
        <w:rPr>
          <w:rFonts w:hint="eastAsia" w:ascii="仿宋" w:hAnsi="仿宋" w:eastAsia="仿宋" w:cs="仿宋"/>
          <w:sz w:val="24"/>
        </w:rPr>
        <w:t>本次采购的</w:t>
      </w:r>
      <w:r>
        <w:rPr>
          <w:rFonts w:hint="eastAsia" w:ascii="仿宋" w:hAnsi="仿宋" w:eastAsia="仿宋" w:cs="仿宋"/>
          <w:sz w:val="24"/>
          <w:lang w:val="en-US" w:eastAsia="zh-CN"/>
        </w:rPr>
        <w:t>公众责任险范围</w:t>
      </w:r>
      <w:r>
        <w:rPr>
          <w:rFonts w:hint="eastAsia" w:ascii="仿宋" w:hAnsi="仿宋" w:eastAsia="仿宋" w:cs="仿宋"/>
          <w:sz w:val="24"/>
        </w:rPr>
        <w:t>为</w:t>
      </w:r>
      <w:r>
        <w:rPr>
          <w:rFonts w:hint="eastAsia" w:ascii="仿宋" w:hAnsi="仿宋" w:eastAsia="仿宋" w:cs="仿宋"/>
          <w:sz w:val="24"/>
          <w:lang w:val="en-US" w:eastAsia="zh-CN"/>
        </w:rPr>
        <w:t>南京大学三校区体育场馆及游泳馆对校内及校外开放的运动场馆。体育场馆及游泳馆设专人看管，内有监控系统，进出收费系统等设施。</w:t>
      </w:r>
      <w:r>
        <w:rPr>
          <w:rFonts w:hint="eastAsia" w:ascii="仿宋" w:hAnsi="仿宋" w:eastAsia="仿宋" w:cs="仿宋"/>
          <w:sz w:val="24"/>
        </w:rPr>
        <w:t>本项目确定供应商一家。</w:t>
      </w:r>
    </w:p>
    <w:p w14:paraId="2CB30E9D">
      <w:pPr>
        <w:widowControl/>
        <w:snapToGrid w:val="0"/>
        <w:spacing w:line="288" w:lineRule="auto"/>
        <w:rPr>
          <w:rFonts w:hint="eastAsia" w:ascii="仿宋_GB2312" w:hAnsi="仿宋_GB2312" w:eastAsia="仿宋_GB2312"/>
          <w:sz w:val="24"/>
          <w:szCs w:val="28"/>
          <w:lang w:val="en-US" w:eastAsia="zh-CN"/>
        </w:rPr>
      </w:pPr>
    </w:p>
    <w:p w14:paraId="0CCC9781">
      <w:pPr>
        <w:widowControl/>
        <w:numPr>
          <w:ilvl w:val="0"/>
          <w:numId w:val="2"/>
        </w:numPr>
        <w:snapToGrid w:val="0"/>
        <w:spacing w:line="288" w:lineRule="auto"/>
        <w:rPr>
          <w:rFonts w:hint="eastAsia" w:ascii="仿宋" w:hAnsi="仿宋" w:eastAsia="仿宋" w:cs="仿宋"/>
          <w:sz w:val="28"/>
          <w:szCs w:val="28"/>
          <w:lang w:val="en-US" w:eastAsia="zh-CN"/>
        </w:rPr>
      </w:pPr>
      <w:r>
        <w:rPr>
          <w:rFonts w:hint="eastAsia" w:ascii="仿宋_GB2312" w:hAnsi="仿宋_GB2312" w:eastAsia="仿宋_GB2312"/>
          <w:b/>
          <w:bCs/>
          <w:sz w:val="24"/>
          <w:szCs w:val="28"/>
          <w:lang w:val="en-US" w:eastAsia="zh-CN"/>
        </w:rPr>
        <w:t>本次承保责任需涵盖的区域如下，包括投保范围、面积、保险限额等。</w:t>
      </w:r>
    </w:p>
    <w:tbl>
      <w:tblPr>
        <w:tblStyle w:val="16"/>
        <w:tblW w:w="826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1"/>
        <w:gridCol w:w="1611"/>
        <w:gridCol w:w="3690"/>
        <w:gridCol w:w="1755"/>
      </w:tblGrid>
      <w:tr w14:paraId="2DEB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5014">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default" w:ascii="黑体" w:hAnsi="宋体" w:eastAsia="黑体" w:cs="黑体"/>
                <w:b/>
                <w:bCs/>
                <w:i w:val="0"/>
                <w:iCs w:val="0"/>
                <w:color w:val="000000"/>
                <w:kern w:val="0"/>
                <w:sz w:val="22"/>
                <w:szCs w:val="22"/>
                <w:u w:val="none"/>
                <w:lang w:val="en-US" w:eastAsia="zh-CN" w:bidi="ar"/>
              </w:rPr>
              <w:t>校区</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4D16">
            <w:pPr>
              <w:keepNext w:val="0"/>
              <w:keepLines w:val="0"/>
              <w:widowControl/>
              <w:suppressLineNumbers w:val="0"/>
              <w:jc w:val="center"/>
              <w:textAlignment w:val="center"/>
              <w:rPr>
                <w:rFonts w:hint="default" w:ascii="黑体" w:hAnsi="宋体" w:eastAsia="黑体" w:cs="黑体"/>
                <w:b/>
                <w:bCs/>
                <w:i w:val="0"/>
                <w:iCs w:val="0"/>
                <w:color w:val="000000"/>
                <w:sz w:val="22"/>
                <w:szCs w:val="22"/>
                <w:u w:val="none"/>
              </w:rPr>
            </w:pPr>
            <w:r>
              <w:rPr>
                <w:rFonts w:hint="default" w:ascii="黑体" w:hAnsi="宋体" w:eastAsia="黑体" w:cs="黑体"/>
                <w:b/>
                <w:bCs/>
                <w:i w:val="0"/>
                <w:iCs w:val="0"/>
                <w:color w:val="000000"/>
                <w:kern w:val="0"/>
                <w:sz w:val="22"/>
                <w:szCs w:val="22"/>
                <w:u w:val="none"/>
                <w:lang w:val="en-US" w:eastAsia="zh-CN" w:bidi="ar"/>
              </w:rPr>
              <w:t>楼幢</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9FD7">
            <w:pPr>
              <w:keepNext w:val="0"/>
              <w:keepLines w:val="0"/>
              <w:widowControl/>
              <w:suppressLineNumbers w:val="0"/>
              <w:jc w:val="center"/>
              <w:textAlignment w:val="center"/>
              <w:rPr>
                <w:rFonts w:hint="default" w:ascii="黑体" w:hAnsi="宋体" w:eastAsia="黑体" w:cs="黑体"/>
                <w:b/>
                <w:bCs/>
                <w:i w:val="0"/>
                <w:iCs w:val="0"/>
                <w:color w:val="000000"/>
                <w:sz w:val="22"/>
                <w:szCs w:val="22"/>
                <w:u w:val="none"/>
              </w:rPr>
            </w:pPr>
            <w:r>
              <w:rPr>
                <w:rFonts w:hint="default" w:ascii="黑体" w:hAnsi="宋体" w:eastAsia="黑体" w:cs="黑体"/>
                <w:b/>
                <w:bCs/>
                <w:i w:val="0"/>
                <w:iCs w:val="0"/>
                <w:color w:val="000000"/>
                <w:kern w:val="0"/>
                <w:sz w:val="22"/>
                <w:szCs w:val="22"/>
                <w:u w:val="none"/>
                <w:lang w:val="en-US" w:eastAsia="zh-CN" w:bidi="ar"/>
              </w:rPr>
              <w:t>详细区域</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ED22">
            <w:pPr>
              <w:keepNext w:val="0"/>
              <w:keepLines w:val="0"/>
              <w:widowControl/>
              <w:suppressLineNumbers w:val="0"/>
              <w:jc w:val="center"/>
              <w:textAlignment w:val="center"/>
              <w:rPr>
                <w:rFonts w:hint="default" w:ascii="黑体" w:hAnsi="宋体" w:eastAsia="黑体" w:cs="黑体"/>
                <w:b/>
                <w:bCs/>
                <w:i w:val="0"/>
                <w:iCs w:val="0"/>
                <w:color w:val="000000"/>
                <w:sz w:val="22"/>
                <w:szCs w:val="22"/>
                <w:u w:val="none"/>
              </w:rPr>
            </w:pPr>
            <w:r>
              <w:rPr>
                <w:rStyle w:val="37"/>
                <w:lang w:val="en-US" w:eastAsia="zh-CN" w:bidi="ar"/>
              </w:rPr>
              <w:t>面积（m</w:t>
            </w:r>
            <w:r>
              <w:rPr>
                <w:rStyle w:val="38"/>
                <w:lang w:val="en-US" w:eastAsia="zh-CN" w:bidi="ar"/>
              </w:rPr>
              <w:t>²</w:t>
            </w:r>
            <w:r>
              <w:rPr>
                <w:rStyle w:val="37"/>
                <w:lang w:val="en-US" w:eastAsia="zh-CN" w:bidi="ar"/>
              </w:rPr>
              <w:t>）</w:t>
            </w:r>
          </w:p>
        </w:tc>
      </w:tr>
      <w:tr w14:paraId="1300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B69A8">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鼓楼校区</w:t>
            </w:r>
          </w:p>
        </w:tc>
        <w:tc>
          <w:tcPr>
            <w:tcW w:w="1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46C37">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吕志和游泳馆5322.5m</w:t>
            </w:r>
            <w:r>
              <w:rPr>
                <w:rStyle w:val="39"/>
                <w:lang w:val="en-US" w:eastAsia="zh-CN" w:bidi="ar"/>
              </w:rPr>
              <w:t>²</w:t>
            </w: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0A304D73">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一楼健身房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E6F9">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510</w:t>
            </w:r>
          </w:p>
        </w:tc>
      </w:tr>
      <w:tr w14:paraId="5010A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71E9">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158C">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5D046205">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一楼体操房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CAD9">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266</w:t>
            </w:r>
          </w:p>
        </w:tc>
      </w:tr>
      <w:tr w14:paraId="52CB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35DB5">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40BC6">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4FA123BC">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二楼游泳馆</w:t>
            </w:r>
            <w:r>
              <w:rPr>
                <w:rFonts w:hint="default" w:ascii="黑体" w:hAnsi="宋体" w:eastAsia="黑体" w:cs="黑体"/>
                <w:i w:val="0"/>
                <w:iCs w:val="0"/>
                <w:color w:val="000000"/>
                <w:kern w:val="0"/>
                <w:sz w:val="18"/>
                <w:szCs w:val="18"/>
                <w:u w:val="none"/>
                <w:lang w:val="en-US" w:eastAsia="zh-CN" w:bidi="ar"/>
              </w:rPr>
              <w:br w:type="textWrapping"/>
            </w:r>
            <w:r>
              <w:rPr>
                <w:rStyle w:val="40"/>
                <w:lang w:val="en-US" w:eastAsia="zh-CN" w:bidi="ar"/>
              </w:rPr>
              <w:t>（2026年8月1日起</w:t>
            </w:r>
            <w:r>
              <w:rPr>
                <w:rStyle w:val="40"/>
                <w:rFonts w:hint="eastAsia"/>
                <w:lang w:val="en-US" w:eastAsia="zh-CN" w:bidi="ar"/>
              </w:rPr>
              <w:t>承保</w:t>
            </w:r>
            <w:r>
              <w:rPr>
                <w:rStyle w:val="40"/>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2A3">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2300</w:t>
            </w:r>
          </w:p>
        </w:tc>
      </w:tr>
      <w:tr w14:paraId="6D96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838B6">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6C9B">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217C0FCF">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三楼跆拳道馆</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13BF">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125</w:t>
            </w:r>
          </w:p>
        </w:tc>
      </w:tr>
      <w:tr w14:paraId="3A18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C9DF">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9700">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2335DEA2">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三楼健美操室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B9D0">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539.5</w:t>
            </w:r>
          </w:p>
        </w:tc>
      </w:tr>
      <w:tr w14:paraId="2817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0907">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FCB77">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7BED6A82">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四楼乒乓球厅</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EA57">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756</w:t>
            </w:r>
          </w:p>
        </w:tc>
      </w:tr>
      <w:tr w14:paraId="06FD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F101">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A503">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673A39F7">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大厅等公共区域及附属用房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AF71">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826</w:t>
            </w:r>
          </w:p>
        </w:tc>
      </w:tr>
      <w:tr w14:paraId="4EC5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2242">
            <w:pPr>
              <w:jc w:val="center"/>
              <w:rPr>
                <w:rFonts w:hint="default" w:ascii="黑体" w:hAnsi="宋体" w:eastAsia="黑体" w:cs="黑体"/>
                <w:i w:val="0"/>
                <w:iCs w:val="0"/>
                <w:color w:val="000000"/>
                <w:sz w:val="18"/>
                <w:szCs w:val="18"/>
                <w:u w:val="none"/>
              </w:rPr>
            </w:pPr>
          </w:p>
        </w:tc>
        <w:tc>
          <w:tcPr>
            <w:tcW w:w="1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C23AC">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体育馆全馆</w:t>
            </w:r>
            <w:r>
              <w:rPr>
                <w:rFonts w:hint="default" w:ascii="黑体" w:hAnsi="宋体" w:eastAsia="黑体" w:cs="黑体"/>
                <w:i w:val="0"/>
                <w:iCs w:val="0"/>
                <w:color w:val="000000"/>
                <w:kern w:val="0"/>
                <w:sz w:val="20"/>
                <w:szCs w:val="20"/>
                <w:u w:val="none"/>
                <w:lang w:val="en-US" w:eastAsia="zh-CN" w:bidi="ar"/>
              </w:rPr>
              <w:br w:type="textWrapping"/>
            </w:r>
            <w:r>
              <w:rPr>
                <w:rFonts w:hint="default" w:ascii="黑体" w:hAnsi="宋体" w:eastAsia="黑体" w:cs="黑体"/>
                <w:i w:val="0"/>
                <w:iCs w:val="0"/>
                <w:color w:val="000000"/>
                <w:kern w:val="0"/>
                <w:sz w:val="20"/>
                <w:szCs w:val="20"/>
                <w:u w:val="none"/>
                <w:lang w:val="en-US" w:eastAsia="zh-CN" w:bidi="ar"/>
              </w:rPr>
              <w:t>1628m</w:t>
            </w:r>
            <w:r>
              <w:rPr>
                <w:rStyle w:val="41"/>
                <w:lang w:val="en-US" w:eastAsia="zh-CN" w:bidi="ar"/>
              </w:rPr>
              <w:t>²</w:t>
            </w: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66FB719C">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羽毛球、篮球</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BCB2">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1340</w:t>
            </w:r>
          </w:p>
        </w:tc>
      </w:tr>
      <w:tr w14:paraId="4CB0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1762">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DCD2C">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22CD9C63">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大厅等公共区域及附属用房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3D05">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288</w:t>
            </w:r>
          </w:p>
        </w:tc>
      </w:tr>
      <w:tr w14:paraId="1BED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E5B1D">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仙林校区</w:t>
            </w:r>
          </w:p>
        </w:tc>
        <w:tc>
          <w:tcPr>
            <w:tcW w:w="1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93B77">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游泳馆全馆</w:t>
            </w:r>
            <w:r>
              <w:rPr>
                <w:rFonts w:hint="default" w:ascii="黑体" w:hAnsi="宋体" w:eastAsia="黑体" w:cs="黑体"/>
                <w:i w:val="0"/>
                <w:iCs w:val="0"/>
                <w:color w:val="000000"/>
                <w:kern w:val="0"/>
                <w:sz w:val="20"/>
                <w:szCs w:val="20"/>
                <w:u w:val="none"/>
                <w:lang w:val="en-US" w:eastAsia="zh-CN" w:bidi="ar"/>
              </w:rPr>
              <w:br w:type="textWrapping"/>
            </w:r>
            <w:r>
              <w:rPr>
                <w:rFonts w:hint="default" w:ascii="黑体" w:hAnsi="宋体" w:eastAsia="黑体" w:cs="黑体"/>
                <w:i w:val="0"/>
                <w:iCs w:val="0"/>
                <w:color w:val="000000"/>
                <w:kern w:val="0"/>
                <w:sz w:val="20"/>
                <w:szCs w:val="20"/>
                <w:u w:val="none"/>
                <w:lang w:val="en-US" w:eastAsia="zh-CN" w:bidi="ar"/>
              </w:rPr>
              <w:t>4219m</w:t>
            </w:r>
            <w:r>
              <w:rPr>
                <w:rStyle w:val="39"/>
                <w:lang w:val="en-US" w:eastAsia="zh-CN" w:bidi="ar"/>
              </w:rPr>
              <w:t>²</w:t>
            </w: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383CE165">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游泳馆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769F">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2300</w:t>
            </w:r>
          </w:p>
        </w:tc>
      </w:tr>
      <w:tr w14:paraId="3CBF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A3F43">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CC5D">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6B7C08B9">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大厅等公共区域及附属用房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FB1A">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1919</w:t>
            </w:r>
          </w:p>
        </w:tc>
      </w:tr>
      <w:tr w14:paraId="3FF2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BA2D">
            <w:pPr>
              <w:jc w:val="center"/>
              <w:rPr>
                <w:rFonts w:hint="default" w:ascii="黑体" w:hAnsi="宋体" w:eastAsia="黑体" w:cs="黑体"/>
                <w:i w:val="0"/>
                <w:iCs w:val="0"/>
                <w:color w:val="000000"/>
                <w:sz w:val="18"/>
                <w:szCs w:val="18"/>
                <w:u w:val="none"/>
              </w:rPr>
            </w:pPr>
          </w:p>
        </w:tc>
        <w:tc>
          <w:tcPr>
            <w:tcW w:w="1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192B7">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方肇周体育馆全馆18483m</w:t>
            </w:r>
            <w:r>
              <w:rPr>
                <w:rStyle w:val="39"/>
                <w:lang w:val="en-US" w:eastAsia="zh-CN" w:bidi="ar"/>
              </w:rPr>
              <w:t>²</w:t>
            </w: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77FCD78F">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半地下健身房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812C">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716.56</w:t>
            </w:r>
          </w:p>
        </w:tc>
      </w:tr>
      <w:tr w14:paraId="6D7B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A7C5">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FA3B">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550DEF89">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半地下篮排球馆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6F1">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1554.72</w:t>
            </w:r>
          </w:p>
        </w:tc>
      </w:tr>
      <w:tr w14:paraId="06B7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F3F9">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869E">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0ADAF855">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一楼跆拳道馆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97D6">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278.85</w:t>
            </w:r>
          </w:p>
        </w:tc>
      </w:tr>
      <w:tr w14:paraId="6A2B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DE1A7">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1707">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568A7EEB">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一楼武术馆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5EA0">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543.15</w:t>
            </w:r>
          </w:p>
        </w:tc>
      </w:tr>
      <w:tr w14:paraId="01F2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703A">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CA88">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176140DD">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一楼体能测试馆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9DD9">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313.69</w:t>
            </w:r>
          </w:p>
        </w:tc>
      </w:tr>
      <w:tr w14:paraId="709D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03FB4">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E094">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06B5F673">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二楼乒羽馆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45FE">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1554.72</w:t>
            </w:r>
          </w:p>
        </w:tc>
      </w:tr>
      <w:tr w14:paraId="09C7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5E89">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F7CA7">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6F503808">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二楼健身操馆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47FC">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714</w:t>
            </w:r>
          </w:p>
        </w:tc>
      </w:tr>
      <w:tr w14:paraId="697B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4B1DF">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4498">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22AC089D">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大厅等公共区域及附属用房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CF4A">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12807</w:t>
            </w:r>
          </w:p>
        </w:tc>
      </w:tr>
      <w:tr w14:paraId="4687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FB8EC">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浦口校区</w:t>
            </w:r>
          </w:p>
        </w:tc>
        <w:tc>
          <w:tcPr>
            <w:tcW w:w="1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61547">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lang w:val="en-US" w:eastAsia="zh-CN" w:bidi="ar"/>
              </w:rPr>
              <w:t>左涤江运动馆全馆3274m</w:t>
            </w:r>
            <w:r>
              <w:rPr>
                <w:rStyle w:val="39"/>
                <w:lang w:val="en-US" w:eastAsia="zh-CN" w:bidi="ar"/>
              </w:rPr>
              <w:t>²</w:t>
            </w: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373A59C1">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健身房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C2BE">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180</w:t>
            </w:r>
          </w:p>
        </w:tc>
      </w:tr>
      <w:tr w14:paraId="6995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5541">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99239">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1E98C9C7">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乒羽馆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49C7">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2300</w:t>
            </w:r>
          </w:p>
        </w:tc>
      </w:tr>
      <w:tr w14:paraId="0B49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E092">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4826">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0E6D2C30">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舞蹈房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5C7E">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80</w:t>
            </w:r>
          </w:p>
        </w:tc>
      </w:tr>
      <w:tr w14:paraId="74F1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231B2">
            <w:pPr>
              <w:jc w:val="center"/>
              <w:rPr>
                <w:rFonts w:hint="default" w:ascii="黑体" w:hAnsi="宋体" w:eastAsia="黑体" w:cs="黑体"/>
                <w:i w:val="0"/>
                <w:iCs w:val="0"/>
                <w:color w:val="000000"/>
                <w:sz w:val="18"/>
                <w:szCs w:val="18"/>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5900">
            <w:pPr>
              <w:jc w:val="center"/>
              <w:rPr>
                <w:rFonts w:hint="default" w:ascii="黑体" w:hAnsi="宋体" w:eastAsia="黑体" w:cs="黑体"/>
                <w:i w:val="0"/>
                <w:iCs w:val="0"/>
                <w:color w:val="000000"/>
                <w:sz w:val="20"/>
                <w:szCs w:val="20"/>
                <w:u w:val="none"/>
              </w:rPr>
            </w:pPr>
          </w:p>
        </w:tc>
        <w:tc>
          <w:tcPr>
            <w:tcW w:w="3690" w:type="dxa"/>
            <w:tcBorders>
              <w:top w:val="single" w:color="000000" w:sz="4" w:space="0"/>
              <w:left w:val="nil"/>
              <w:bottom w:val="single" w:color="000000" w:sz="4" w:space="0"/>
              <w:right w:val="single" w:color="000000" w:sz="4" w:space="0"/>
            </w:tcBorders>
            <w:shd w:val="clear" w:color="auto" w:fill="auto"/>
            <w:vAlign w:val="center"/>
          </w:tcPr>
          <w:p w14:paraId="054438CF">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大厅等公共区域及附属用房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2441">
            <w:pPr>
              <w:keepNext w:val="0"/>
              <w:keepLines w:val="0"/>
              <w:widowControl/>
              <w:suppressLineNumbers w:val="0"/>
              <w:jc w:val="center"/>
              <w:textAlignment w:val="center"/>
              <w:rPr>
                <w:rFonts w:hint="default" w:ascii="黑体" w:hAnsi="宋体" w:eastAsia="黑体" w:cs="黑体"/>
                <w:i w:val="0"/>
                <w:iCs w:val="0"/>
                <w:color w:val="000000"/>
                <w:sz w:val="18"/>
                <w:szCs w:val="18"/>
                <w:u w:val="none"/>
              </w:rPr>
            </w:pPr>
            <w:r>
              <w:rPr>
                <w:rFonts w:hint="default" w:ascii="黑体" w:hAnsi="宋体" w:eastAsia="黑体" w:cs="黑体"/>
                <w:i w:val="0"/>
                <w:iCs w:val="0"/>
                <w:color w:val="000000"/>
                <w:kern w:val="0"/>
                <w:sz w:val="18"/>
                <w:szCs w:val="18"/>
                <w:u w:val="none"/>
                <w:lang w:val="en-US" w:eastAsia="zh-CN" w:bidi="ar"/>
              </w:rPr>
              <w:t>714</w:t>
            </w:r>
          </w:p>
        </w:tc>
      </w:tr>
    </w:tbl>
    <w:p w14:paraId="36646BD4">
      <w:pPr>
        <w:widowControl/>
        <w:snapToGrid w:val="0"/>
        <w:spacing w:line="288" w:lineRule="auto"/>
        <w:ind w:firstLine="482" w:firstLineChars="200"/>
        <w:rPr>
          <w:rFonts w:hint="eastAsia" w:ascii="仿宋_GB2312" w:hAnsi="仿宋_GB2312" w:eastAsia="仿宋_GB2312" w:cs="Times New Roman"/>
          <w:b/>
          <w:bCs/>
          <w:sz w:val="24"/>
          <w:szCs w:val="28"/>
          <w:lang w:val="en-US" w:eastAsia="zh-CN"/>
        </w:rPr>
      </w:pPr>
      <w:r>
        <w:rPr>
          <w:rFonts w:hint="eastAsia" w:ascii="仿宋_GB2312" w:hAnsi="仿宋_GB2312" w:eastAsia="仿宋_GB2312" w:cs="Times New Roman"/>
          <w:b/>
          <w:bCs/>
          <w:sz w:val="24"/>
          <w:szCs w:val="28"/>
          <w:lang w:val="en-US" w:eastAsia="zh-CN"/>
        </w:rPr>
        <w:t>1、▲保障范围：</w:t>
      </w:r>
    </w:p>
    <w:p w14:paraId="1831EC59">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承保各场馆、游泳馆在经营、使用、管理过程中，因疏忽或过失造成第三者人身伤亡及财产损失，依法应由被保险人承担的经济赔偿责任，包含但不限于摔伤、滑倒、溺水、划伤、碰撞、设施故障、火灾、雷击、爆炸、水质相关意外等场景。</w:t>
      </w:r>
    </w:p>
    <w:p w14:paraId="066322B3">
      <w:pPr>
        <w:widowControl/>
        <w:snapToGrid w:val="0"/>
        <w:spacing w:line="288" w:lineRule="auto"/>
        <w:ind w:firstLine="482" w:firstLineChars="200"/>
        <w:rPr>
          <w:rFonts w:hint="eastAsia" w:ascii="仿宋_GB2312" w:hAnsi="仿宋_GB2312" w:eastAsia="仿宋_GB2312" w:cs="Times New Roman"/>
          <w:b/>
          <w:bCs/>
          <w:sz w:val="24"/>
          <w:szCs w:val="28"/>
          <w:lang w:val="en-US" w:eastAsia="zh-CN"/>
        </w:rPr>
      </w:pPr>
      <w:r>
        <w:rPr>
          <w:rFonts w:hint="eastAsia" w:ascii="仿宋_GB2312" w:hAnsi="仿宋_GB2312" w:eastAsia="仿宋_GB2312" w:cs="Times New Roman"/>
          <w:b/>
          <w:bCs/>
          <w:sz w:val="24"/>
          <w:szCs w:val="28"/>
          <w:lang w:val="en-US" w:eastAsia="zh-CN"/>
        </w:rPr>
        <w:t>2、★保险限额要求：</w:t>
      </w:r>
    </w:p>
    <w:p w14:paraId="6258D6B1">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年度累计赔偿限额：不低于300万元</w:t>
      </w:r>
    </w:p>
    <w:p w14:paraId="280EA0B6">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每次事故赔偿限额：不低于150万元</w:t>
      </w:r>
    </w:p>
    <w:p w14:paraId="6A92A16F">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每次事故每人人身伤亡赔偿限额：不低于50万元</w:t>
      </w:r>
    </w:p>
    <w:p w14:paraId="6B3C6193">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每次事故每人医疗费用赔偿限额：不低于2万元</w:t>
      </w:r>
    </w:p>
    <w:p w14:paraId="142787D0">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每次事故财产损失赔偿限额：不低于50万元</w:t>
      </w:r>
    </w:p>
    <w:p w14:paraId="531E1ABF">
      <w:pPr>
        <w:widowControl/>
        <w:snapToGrid w:val="0"/>
        <w:spacing w:line="288" w:lineRule="auto"/>
        <w:ind w:firstLine="482" w:firstLineChars="200"/>
        <w:rPr>
          <w:rFonts w:hint="eastAsia" w:ascii="仿宋_GB2312" w:hAnsi="仿宋_GB2312" w:eastAsia="仿宋_GB2312" w:cs="Times New Roman"/>
          <w:b/>
          <w:bCs/>
          <w:sz w:val="24"/>
          <w:szCs w:val="28"/>
          <w:lang w:val="en-US" w:eastAsia="zh-CN"/>
        </w:rPr>
      </w:pPr>
      <w:r>
        <w:rPr>
          <w:rFonts w:hint="eastAsia" w:ascii="仿宋_GB2312" w:hAnsi="仿宋_GB2312" w:eastAsia="仿宋_GB2312" w:cs="Times New Roman"/>
          <w:b/>
          <w:bCs/>
          <w:sz w:val="24"/>
          <w:szCs w:val="28"/>
          <w:lang w:val="en-US" w:eastAsia="zh-CN"/>
        </w:rPr>
        <w:t>3、★免赔额要求：</w:t>
      </w:r>
    </w:p>
    <w:p w14:paraId="4D994289">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人身伤亡责任：无免赔</w:t>
      </w:r>
    </w:p>
    <w:p w14:paraId="2F035115">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医疗费用责任：不高于500元/人</w:t>
      </w:r>
    </w:p>
    <w:p w14:paraId="0122C420">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财产损失责任：不高于1000元或损失金额的10%，以高者为准</w:t>
      </w:r>
    </w:p>
    <w:p w14:paraId="75B0BDBD">
      <w:pPr>
        <w:widowControl/>
        <w:snapToGrid w:val="0"/>
        <w:spacing w:line="288" w:lineRule="auto"/>
        <w:ind w:firstLine="482" w:firstLineChars="200"/>
        <w:rPr>
          <w:rFonts w:hint="eastAsia" w:ascii="仿宋_GB2312" w:hAnsi="仿宋_GB2312" w:eastAsia="仿宋_GB2312" w:cs="Times New Roman"/>
          <w:b/>
          <w:bCs/>
          <w:sz w:val="24"/>
          <w:szCs w:val="28"/>
          <w:lang w:val="en-US" w:eastAsia="zh-CN"/>
        </w:rPr>
      </w:pPr>
      <w:r>
        <w:rPr>
          <w:rFonts w:hint="eastAsia" w:ascii="仿宋_GB2312" w:hAnsi="仿宋_GB2312" w:eastAsia="仿宋_GB2312" w:cs="Times New Roman"/>
          <w:b/>
          <w:bCs/>
          <w:sz w:val="24"/>
          <w:szCs w:val="28"/>
          <w:lang w:val="en-US" w:eastAsia="zh-CN"/>
        </w:rPr>
        <w:t>4、▲服务要求：</w:t>
      </w:r>
    </w:p>
    <w:p w14:paraId="04550AEF">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提供7×24小时保险报案与理赔服务</w:t>
      </w:r>
    </w:p>
    <w:p w14:paraId="1BBD5B22">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设立专人对接，提供保险咨询、风险提示、应急指导</w:t>
      </w:r>
    </w:p>
    <w:p w14:paraId="56A082A2">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一般案件3个工作日内完成定损，复杂案件15个工作日内完成赔付</w:t>
      </w:r>
    </w:p>
    <w:p w14:paraId="64269647">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 免费提供场馆安全风险排查、安全培训及应急预案指导服务</w:t>
      </w:r>
    </w:p>
    <w:p w14:paraId="1692D644">
      <w:pPr>
        <w:ind w:firstLine="480" w:firstLineChars="200"/>
        <w:rPr>
          <w:rFonts w:hint="eastAsia" w:ascii="宋体" w:hAnsi="宋体" w:eastAsia="宋体" w:cs="宋体"/>
          <w:color w:val="333333"/>
          <w:kern w:val="0"/>
          <w:sz w:val="24"/>
          <w:shd w:val="clear" w:color="auto" w:fill="FFFFFF"/>
          <w:lang w:val="en-US" w:eastAsia="zh-CN" w:bidi="ar"/>
        </w:rPr>
      </w:pPr>
    </w:p>
    <w:p w14:paraId="2DFE4B9F">
      <w:pPr>
        <w:widowControl/>
        <w:snapToGrid w:val="0"/>
        <w:spacing w:line="288" w:lineRule="auto"/>
        <w:ind w:firstLine="482" w:firstLineChars="200"/>
        <w:rPr>
          <w:rFonts w:hint="eastAsia" w:ascii="仿宋_GB2312" w:hAnsi="仿宋_GB2312" w:eastAsia="仿宋_GB2312" w:cs="Times New Roman"/>
          <w:b/>
          <w:bCs/>
          <w:color w:val="C00000"/>
          <w:sz w:val="24"/>
          <w:szCs w:val="28"/>
          <w:lang w:val="en-US" w:eastAsia="zh-CN"/>
        </w:rPr>
      </w:pPr>
      <w:r>
        <w:rPr>
          <w:rFonts w:hint="eastAsia" w:ascii="仿宋_GB2312" w:hAnsi="仿宋_GB2312" w:eastAsia="仿宋_GB2312" w:cs="Times New Roman"/>
          <w:b/>
          <w:bCs/>
          <w:color w:val="C00000"/>
          <w:sz w:val="24"/>
          <w:szCs w:val="28"/>
          <w:lang w:val="en-US" w:eastAsia="zh-CN"/>
        </w:rPr>
        <w:t>标注“★”的内容为实质性要求，有一项不符合的，作无效响应处理。</w:t>
      </w:r>
    </w:p>
    <w:p w14:paraId="7C006F4D">
      <w:pPr>
        <w:widowControl/>
        <w:snapToGrid w:val="0"/>
        <w:spacing w:line="288" w:lineRule="auto"/>
        <w:rPr>
          <w:rFonts w:hint="eastAsia" w:ascii="仿宋_GB2312" w:hAnsi="仿宋_GB2312" w:eastAsia="仿宋_GB2312"/>
          <w:sz w:val="24"/>
          <w:szCs w:val="28"/>
          <w:lang w:val="en-US" w:eastAsia="zh-CN"/>
        </w:rPr>
      </w:pPr>
    </w:p>
    <w:p w14:paraId="516D3B0A">
      <w:pPr>
        <w:widowControl/>
        <w:snapToGrid w:val="0"/>
        <w:spacing w:line="288" w:lineRule="auto"/>
        <w:rPr>
          <w:rFonts w:hint="eastAsia"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三、商务要求</w:t>
      </w:r>
    </w:p>
    <w:p w14:paraId="44AD5B60">
      <w:pPr>
        <w:widowControl/>
        <w:snapToGrid w:val="0"/>
        <w:spacing w:line="288" w:lineRule="auto"/>
        <w:rPr>
          <w:rFonts w:hint="default" w:ascii="仿宋" w:hAnsi="仿宋" w:eastAsia="仿宋" w:cs="Times New Roman"/>
          <w:sz w:val="24"/>
          <w:lang w:val="en-US" w:eastAsia="zh-CN"/>
        </w:rPr>
      </w:pPr>
      <w:r>
        <w:rPr>
          <w:rFonts w:hint="eastAsia" w:ascii="仿宋_GB2312" w:hAnsi="仿宋_GB2312" w:eastAsia="仿宋_GB2312"/>
          <w:sz w:val="24"/>
          <w:szCs w:val="28"/>
          <w:lang w:val="en-US" w:eastAsia="zh-CN"/>
        </w:rPr>
        <w:t>1.★服务时间及</w:t>
      </w:r>
      <w:r>
        <w:rPr>
          <w:rFonts w:hint="eastAsia" w:ascii="仿宋" w:hAnsi="仿宋" w:eastAsia="仿宋" w:cs="Times New Roman"/>
          <w:sz w:val="24"/>
          <w:lang w:val="en-US" w:eastAsia="zh-CN"/>
        </w:rPr>
        <w:t>合同期：自合同签订之日起</w:t>
      </w:r>
      <w:r>
        <w:rPr>
          <w:rFonts w:hint="eastAsia" w:ascii="仿宋" w:hAnsi="仿宋" w:eastAsia="仿宋" w:cs="Times New Roman"/>
          <w:b/>
          <w:bCs/>
          <w:sz w:val="24"/>
          <w:lang w:val="en-US" w:eastAsia="zh-CN"/>
        </w:rPr>
        <w:t>1年</w:t>
      </w:r>
      <w:r>
        <w:rPr>
          <w:rFonts w:hint="eastAsia" w:ascii="仿宋" w:hAnsi="仿宋" w:eastAsia="仿宋" w:cs="Times New Roman"/>
          <w:sz w:val="24"/>
          <w:lang w:val="en-US" w:eastAsia="zh-CN"/>
        </w:rPr>
        <w:t>（保单生效之日起至保单失效之日止），具体以保险单载明期限为准。</w:t>
      </w:r>
    </w:p>
    <w:p w14:paraId="391F026C">
      <w:pPr>
        <w:widowControl/>
        <w:snapToGrid w:val="0"/>
        <w:spacing w:line="288" w:lineRule="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3.★服务地点：南京大学鼓楼、仙林、浦口三校区。</w:t>
      </w:r>
    </w:p>
    <w:p w14:paraId="16705492">
      <w:pPr>
        <w:widowControl/>
        <w:snapToGrid w:val="0"/>
        <w:spacing w:line="288" w:lineRule="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4.▲报价为含税全包价，包含保险费、出单费、服务费、理赔协助等全部相关费用，采购人不再支付任何其他费用。</w:t>
      </w:r>
    </w:p>
    <w:p w14:paraId="69DD32FB">
      <w:pPr>
        <w:widowControl/>
        <w:snapToGrid w:val="0"/>
        <w:spacing w:line="288" w:lineRule="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5.★保险期内发生保险事故，供应商须积极协助采购人处理事故、收集材料、快速理赔，不得无故推诿、拖延。</w:t>
      </w:r>
    </w:p>
    <w:p w14:paraId="52C6F380">
      <w:pPr>
        <w:widowControl/>
        <w:snapToGrid w:val="0"/>
        <w:spacing w:line="288" w:lineRule="auto"/>
        <w:rPr>
          <w:rFonts w:hint="eastAsia"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6.▲付款方式：</w:t>
      </w:r>
      <w:r>
        <w:rPr>
          <w:rFonts w:hint="eastAsia" w:ascii="仿宋" w:hAnsi="仿宋" w:eastAsia="仿宋" w:cs="Times New Roman"/>
          <w:sz w:val="24"/>
          <w:lang w:val="en-US" w:eastAsia="zh-CN"/>
        </w:rPr>
        <w:t>合同签订后20个工作日内采购人一次性支付全额保费；供应商收到保费后见费出单，于3</w:t>
      </w:r>
      <w:bookmarkStart w:id="0" w:name="_GoBack"/>
      <w:bookmarkEnd w:id="0"/>
      <w:r>
        <w:rPr>
          <w:rFonts w:hint="eastAsia" w:ascii="仿宋" w:hAnsi="仿宋" w:eastAsia="仿宋" w:cs="Times New Roman"/>
          <w:sz w:val="24"/>
          <w:lang w:val="en-US" w:eastAsia="zh-CN"/>
        </w:rPr>
        <w:t>个工作日内出具正式保单、合规发票及相关凭证（抬头、账户与合同一致）。</w:t>
      </w:r>
    </w:p>
    <w:p w14:paraId="5E19DE4E">
      <w:pPr>
        <w:adjustRightInd w:val="0"/>
        <w:snapToGrid w:val="0"/>
        <w:spacing w:line="288" w:lineRule="auto"/>
        <w:rPr>
          <w:rFonts w:ascii="仿宋_GB2312" w:hAnsi="仿宋_GB2312" w:eastAsia="仿宋_GB2312"/>
          <w:sz w:val="24"/>
          <w:szCs w:val="28"/>
        </w:rPr>
      </w:pPr>
    </w:p>
    <w:p w14:paraId="028EDDB5">
      <w:pPr>
        <w:adjustRightInd w:val="0"/>
        <w:snapToGrid w:val="0"/>
        <w:spacing w:line="288" w:lineRule="auto"/>
        <w:rPr>
          <w:rFonts w:hint="default"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五、</w:t>
      </w:r>
      <w:r>
        <w:rPr>
          <w:rFonts w:hint="eastAsia" w:ascii="仿宋" w:hAnsi="仿宋" w:eastAsia="仿宋"/>
          <w:b/>
          <w:sz w:val="24"/>
        </w:rPr>
        <w:t>★</w:t>
      </w:r>
      <w:r>
        <w:rPr>
          <w:rFonts w:hint="eastAsia" w:ascii="仿宋_GB2312" w:hAnsi="仿宋_GB2312" w:eastAsia="仿宋_GB2312"/>
          <w:b/>
          <w:bCs/>
          <w:sz w:val="24"/>
          <w:szCs w:val="28"/>
          <w:lang w:val="en-US" w:eastAsia="zh-CN"/>
        </w:rPr>
        <w:t>其他要求</w:t>
      </w:r>
    </w:p>
    <w:p w14:paraId="1BA8F103">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1、供应商须提供完整的</w:t>
      </w:r>
      <w:r>
        <w:rPr>
          <w:rFonts w:hint="eastAsia" w:ascii="仿宋_GB2312" w:hAnsi="仿宋_GB2312" w:eastAsia="仿宋_GB2312" w:cs="Times New Roman"/>
          <w:b/>
          <w:bCs/>
          <w:sz w:val="24"/>
          <w:szCs w:val="28"/>
          <w:lang w:val="en-US" w:eastAsia="zh-CN"/>
        </w:rPr>
        <w:t>保险方案、保险条款、赔偿限额、免赔额、服务承诺、保单、保险条款清单</w:t>
      </w:r>
      <w:r>
        <w:rPr>
          <w:rFonts w:hint="eastAsia" w:ascii="仿宋_GB2312" w:hAnsi="仿宋_GB2312" w:eastAsia="仿宋_GB2312" w:cs="Times New Roman"/>
          <w:sz w:val="24"/>
          <w:szCs w:val="28"/>
          <w:lang w:val="en-US" w:eastAsia="zh-CN"/>
        </w:rPr>
        <w:t>等书面材料。</w:t>
      </w:r>
      <w:r>
        <w:rPr>
          <w:rFonts w:hint="eastAsia" w:ascii="仿宋_GB2312" w:hAnsi="仿宋_GB2312" w:eastAsia="仿宋_GB2312" w:cs="Times New Roman"/>
          <w:b/>
          <w:bCs/>
          <w:sz w:val="24"/>
          <w:szCs w:val="28"/>
          <w:lang w:val="en-US" w:eastAsia="zh-CN"/>
        </w:rPr>
        <w:t>若保险方案的指标优于项目指标，或愿意提供附加的增值服务，务必明显标注说明。</w:t>
      </w:r>
    </w:p>
    <w:p w14:paraId="7A0CE5C2">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2、中标供应商须在3个工作日内完成全部投保流程并交付正式保单。</w:t>
      </w:r>
    </w:p>
    <w:p w14:paraId="5D8CF372">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3、供应商须严格遵守国家相关法律法规及采购人内部管理规定。</w:t>
      </w:r>
    </w:p>
    <w:p w14:paraId="451C27E6">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4、保险服务期结束前，供应商须主动提供续保方案及相关服务衔接。</w:t>
      </w:r>
    </w:p>
    <w:p w14:paraId="0EAFFF41">
      <w:pPr>
        <w:widowControl/>
        <w:snapToGrid w:val="0"/>
        <w:spacing w:line="288" w:lineRule="auto"/>
        <w:ind w:firstLine="480" w:firstLineChars="200"/>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5、本项目未尽事宜，由双方按照合法、公平、诚信原则协商解决。</w:t>
      </w:r>
    </w:p>
    <w:p w14:paraId="17502289">
      <w:pPr>
        <w:adjustRightInd w:val="0"/>
        <w:snapToGrid w:val="0"/>
        <w:spacing w:line="288" w:lineRule="auto"/>
        <w:rPr>
          <w:rFonts w:ascii="仿宋_GB2312" w:hAnsi="仿宋_GB2312" w:eastAsia="仿宋_GB2312"/>
          <w:sz w:val="24"/>
          <w:szCs w:val="28"/>
        </w:rPr>
      </w:pPr>
    </w:p>
    <w:p w14:paraId="1864DD46">
      <w:pPr>
        <w:spacing w:line="360" w:lineRule="auto"/>
        <w:jc w:val="center"/>
        <w:rPr>
          <w:rFonts w:hint="eastAsia" w:ascii="仿宋" w:hAnsi="仿宋" w:eastAsia="仿宋"/>
          <w:b/>
          <w:bCs/>
          <w:color w:val="C00000"/>
          <w:sz w:val="24"/>
          <w:szCs w:val="24"/>
        </w:rPr>
      </w:pPr>
      <w:r>
        <w:rPr>
          <w:rFonts w:hint="eastAsia" w:ascii="仿宋" w:hAnsi="仿宋" w:eastAsia="仿宋"/>
          <w:b/>
          <w:bCs/>
          <w:color w:val="C00000"/>
          <w:sz w:val="24"/>
          <w:szCs w:val="24"/>
        </w:rPr>
        <w:t>备注：标注★的采购要求，为必须满足的要求。</w:t>
      </w:r>
    </w:p>
    <w:p w14:paraId="55107CF9">
      <w:pPr>
        <w:pStyle w:val="6"/>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lang w:val="en-US" w:eastAsia="zh-CN"/>
        </w:rPr>
        <w:t>四</w:t>
      </w:r>
      <w:r>
        <w:rPr>
          <w:rFonts w:hint="eastAsia" w:ascii="仿宋_GB2312" w:hAnsi="仿宋_GB2312" w:eastAsia="仿宋_GB2312"/>
          <w:b/>
          <w:sz w:val="32"/>
          <w:szCs w:val="24"/>
        </w:rPr>
        <w:t>、响应文件的编制</w:t>
      </w:r>
    </w:p>
    <w:p w14:paraId="74973791">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（一）响应文件的组成</w:t>
      </w:r>
    </w:p>
    <w:p w14:paraId="683BB115">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1、响应函；</w:t>
      </w:r>
    </w:p>
    <w:p w14:paraId="550552C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2、报价文件；</w:t>
      </w:r>
    </w:p>
    <w:p w14:paraId="4844DE67">
      <w:pPr>
        <w:pStyle w:val="27"/>
        <w:numPr>
          <w:ilvl w:val="0"/>
          <w:numId w:val="0"/>
        </w:numPr>
        <w:spacing w:line="240"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3、技术、商务应答文件</w:t>
      </w:r>
      <w:r>
        <w:rPr>
          <w:rFonts w:hint="eastAsia" w:ascii="仿宋_GB2312" w:hAnsi="仿宋_GB2312" w:eastAsia="仿宋_GB2312"/>
          <w:sz w:val="24"/>
          <w:szCs w:val="28"/>
          <w:lang w:eastAsia="zh-CN"/>
        </w:rPr>
        <w:t>，</w:t>
      </w:r>
      <w:r>
        <w:rPr>
          <w:rFonts w:hint="eastAsia" w:ascii="仿宋_GB2312" w:hAnsi="仿宋_GB2312" w:eastAsia="仿宋_GB2312" w:cs="Times New Roman"/>
          <w:kern w:val="2"/>
          <w:sz w:val="24"/>
          <w:szCs w:val="28"/>
          <w:lang w:val="en-US" w:eastAsia="zh-CN" w:bidi="ar-SA"/>
        </w:rPr>
        <w:t>含保险方案、理赔服务、保险条款清单等。</w:t>
      </w:r>
      <w:r>
        <w:rPr>
          <w:rFonts w:hint="eastAsia" w:ascii="仿宋_GB2312" w:hAnsi="仿宋_GB2312" w:eastAsia="仿宋_GB2312" w:cs="Times New Roman"/>
          <w:b/>
          <w:bCs/>
          <w:kern w:val="2"/>
          <w:sz w:val="24"/>
          <w:szCs w:val="28"/>
          <w:lang w:val="en-US" w:eastAsia="zh-CN" w:bidi="ar-SA"/>
        </w:rPr>
        <w:t>若保险方案的指标优于项目指标，或愿意提供附加的增值服务，务必明显标注说明。</w:t>
      </w:r>
    </w:p>
    <w:p w14:paraId="1514ED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4、产品性能指标说明和响应方案；</w:t>
      </w:r>
    </w:p>
    <w:p w14:paraId="5EF7CAF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5、资质性证明文件（详见本采购文件总则规定的资质文件）；</w:t>
      </w:r>
    </w:p>
    <w:p w14:paraId="6332AFA9">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6</w:t>
      </w:r>
      <w:r>
        <w:rPr>
          <w:rFonts w:hint="eastAsia" w:ascii="仿宋_GB2312" w:hAnsi="仿宋_GB2312" w:eastAsia="仿宋_GB2312"/>
          <w:sz w:val="24"/>
          <w:szCs w:val="28"/>
        </w:rPr>
        <w:t>、企业概况及近三年来与本采购项目类似的业绩情况；</w:t>
      </w:r>
    </w:p>
    <w:p w14:paraId="2A89D43E">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7</w:t>
      </w:r>
      <w:r>
        <w:rPr>
          <w:rFonts w:hint="eastAsia" w:ascii="仿宋_GB2312" w:hAnsi="仿宋_GB2312" w:eastAsia="仿宋_GB2312"/>
          <w:sz w:val="24"/>
          <w:szCs w:val="28"/>
        </w:rPr>
        <w:t>、供应商提供全新正品行货、质量保障和售后服务等承诺函；</w:t>
      </w:r>
      <w:r>
        <w:rPr>
          <w:rFonts w:ascii="仿宋_GB2312" w:hAnsi="仿宋_GB2312" w:eastAsia="仿宋_GB2312"/>
          <w:sz w:val="24"/>
          <w:szCs w:val="28"/>
        </w:rPr>
        <w:t xml:space="preserve"> </w:t>
      </w:r>
    </w:p>
    <w:p w14:paraId="04A00CF1">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8、其他。</w:t>
      </w:r>
    </w:p>
    <w:p w14:paraId="0B1D38CB">
      <w:pPr>
        <w:widowControl/>
        <w:snapToGrid w:val="0"/>
        <w:spacing w:line="288" w:lineRule="auto"/>
        <w:ind w:firstLine="600" w:firstLineChars="250"/>
        <w:rPr>
          <w:rFonts w:ascii="仿宋_GB2312" w:hAnsi="仿宋_GB2312" w:eastAsia="仿宋_GB2312"/>
          <w:sz w:val="24"/>
          <w:szCs w:val="28"/>
        </w:rPr>
      </w:pPr>
    </w:p>
    <w:p w14:paraId="7B1882E8">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（二）响应文件的编制</w:t>
      </w:r>
    </w:p>
    <w:p w14:paraId="7663033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以上材料需</w:t>
      </w:r>
      <w:r>
        <w:rPr>
          <w:rFonts w:hint="eastAsia" w:ascii="仿宋_GB2312" w:hAnsi="仿宋_GB2312" w:eastAsia="仿宋_GB2312"/>
          <w:b/>
          <w:sz w:val="24"/>
          <w:szCs w:val="28"/>
        </w:rPr>
        <w:t>逐页编码并加盖供应商公章</w:t>
      </w:r>
      <w:r>
        <w:rPr>
          <w:rFonts w:hint="eastAsia" w:ascii="仿宋_GB2312" w:hAnsi="仿宋_GB2312" w:eastAsia="仿宋_GB2312"/>
          <w:sz w:val="24"/>
          <w:szCs w:val="28"/>
        </w:rPr>
        <w:t>，按上述</w:t>
      </w:r>
      <w:r>
        <w:rPr>
          <w:rFonts w:hint="eastAsia" w:ascii="仿宋_GB2312" w:hAnsi="仿宋_GB2312" w:eastAsia="仿宋_GB2312"/>
          <w:b/>
          <w:sz w:val="24"/>
          <w:szCs w:val="28"/>
        </w:rPr>
        <w:t>顺序</w:t>
      </w:r>
      <w:r>
        <w:rPr>
          <w:rFonts w:hint="eastAsia" w:ascii="仿宋_GB2312" w:hAnsi="仿宋_GB2312" w:eastAsia="仿宋_GB2312"/>
          <w:sz w:val="24"/>
          <w:szCs w:val="28"/>
        </w:rPr>
        <w:t>排列装订成册，</w:t>
      </w:r>
      <w:r>
        <w:rPr>
          <w:rFonts w:hint="eastAsia" w:ascii="仿宋_GB2312" w:hAnsi="仿宋_GB2312" w:eastAsia="仿宋_GB2312"/>
          <w:b/>
          <w:sz w:val="24"/>
          <w:szCs w:val="28"/>
        </w:rPr>
        <w:t>加盖骑缝章</w:t>
      </w:r>
      <w:r>
        <w:rPr>
          <w:rFonts w:hint="eastAsia" w:ascii="仿宋_GB2312" w:hAnsi="仿宋_GB2312" w:eastAsia="仿宋_GB2312"/>
          <w:sz w:val="24"/>
          <w:szCs w:val="28"/>
        </w:rPr>
        <w:t>，并在首页编制“响应文件目录”。如有弄虚作假者作响应无效处理，采购人有权追究其法律责任。</w:t>
      </w:r>
    </w:p>
    <w:p w14:paraId="4F7EC4B8">
      <w:pPr>
        <w:pStyle w:val="6"/>
        <w:adjustRightInd w:val="0"/>
        <w:snapToGrid w:val="0"/>
        <w:spacing w:line="288" w:lineRule="auto"/>
        <w:jc w:val="center"/>
        <w:rPr>
          <w:rFonts w:ascii="仿宋_GB2312" w:hAnsi="仿宋_GB2312" w:eastAsia="仿宋_GB2312"/>
          <w:b/>
          <w:sz w:val="32"/>
          <w:szCs w:val="24"/>
        </w:rPr>
      </w:pPr>
    </w:p>
    <w:p w14:paraId="596FF3DB">
      <w:pPr>
        <w:pStyle w:val="6"/>
        <w:adjustRightInd w:val="0"/>
        <w:snapToGrid w:val="0"/>
        <w:spacing w:line="288" w:lineRule="auto"/>
        <w:jc w:val="center"/>
        <w:rPr>
          <w:rFonts w:ascii="仿宋_GB2312" w:hAnsi="仿宋_GB2312" w:eastAsia="仿宋_GB2312"/>
          <w:b/>
          <w:sz w:val="32"/>
          <w:szCs w:val="24"/>
        </w:rPr>
      </w:pPr>
    </w:p>
    <w:p w14:paraId="2DD3E6F1">
      <w:pPr>
        <w:pStyle w:val="6"/>
        <w:adjustRightInd w:val="0"/>
        <w:snapToGrid w:val="0"/>
        <w:spacing w:line="288" w:lineRule="auto"/>
        <w:jc w:val="center"/>
        <w:rPr>
          <w:rFonts w:ascii="仿宋_GB2312" w:hAnsi="仿宋_GB2312" w:eastAsia="仿宋_GB2312"/>
          <w:b/>
          <w:sz w:val="32"/>
          <w:szCs w:val="24"/>
        </w:rPr>
      </w:pPr>
    </w:p>
    <w:p w14:paraId="329CAFF0">
      <w:pPr>
        <w:pStyle w:val="6"/>
        <w:adjustRightInd w:val="0"/>
        <w:snapToGrid w:val="0"/>
        <w:spacing w:line="288" w:lineRule="auto"/>
        <w:jc w:val="center"/>
        <w:rPr>
          <w:rFonts w:ascii="仿宋_GB2312" w:hAnsi="仿宋_GB2312" w:eastAsia="仿宋_GB2312"/>
          <w:b/>
          <w:sz w:val="32"/>
          <w:szCs w:val="24"/>
        </w:rPr>
      </w:pPr>
    </w:p>
    <w:p w14:paraId="36D86C65">
      <w:pPr>
        <w:pStyle w:val="6"/>
        <w:adjustRightInd w:val="0"/>
        <w:snapToGrid w:val="0"/>
        <w:spacing w:line="288" w:lineRule="auto"/>
        <w:jc w:val="center"/>
        <w:rPr>
          <w:rFonts w:ascii="仿宋_GB2312" w:hAnsi="仿宋_GB2312" w:eastAsia="仿宋_GB2312"/>
          <w:b/>
          <w:sz w:val="32"/>
          <w:szCs w:val="24"/>
        </w:rPr>
      </w:pPr>
    </w:p>
    <w:p w14:paraId="5FB9E869">
      <w:pPr>
        <w:pStyle w:val="6"/>
        <w:adjustRightInd w:val="0"/>
        <w:snapToGrid w:val="0"/>
        <w:spacing w:line="288" w:lineRule="auto"/>
        <w:jc w:val="center"/>
        <w:rPr>
          <w:rFonts w:ascii="仿宋_GB2312" w:hAnsi="仿宋_GB2312" w:eastAsia="仿宋_GB2312"/>
          <w:b/>
          <w:sz w:val="32"/>
          <w:szCs w:val="24"/>
        </w:rPr>
      </w:pPr>
    </w:p>
    <w:p w14:paraId="3BB949F0">
      <w:pPr>
        <w:pStyle w:val="6"/>
        <w:adjustRightInd w:val="0"/>
        <w:snapToGrid w:val="0"/>
        <w:spacing w:line="288" w:lineRule="auto"/>
        <w:jc w:val="center"/>
        <w:rPr>
          <w:rFonts w:ascii="仿宋_GB2312" w:hAnsi="仿宋_GB2312" w:eastAsia="仿宋_GB2312"/>
          <w:b/>
          <w:sz w:val="32"/>
          <w:szCs w:val="24"/>
        </w:rPr>
      </w:pPr>
    </w:p>
    <w:p w14:paraId="78D18F04">
      <w:pPr>
        <w:pStyle w:val="6"/>
        <w:adjustRightInd w:val="0"/>
        <w:snapToGrid w:val="0"/>
        <w:spacing w:line="288" w:lineRule="auto"/>
        <w:jc w:val="center"/>
        <w:rPr>
          <w:rFonts w:ascii="仿宋_GB2312" w:hAnsi="仿宋_GB2312" w:eastAsia="仿宋_GB2312"/>
          <w:b/>
          <w:sz w:val="32"/>
          <w:szCs w:val="24"/>
        </w:rPr>
      </w:pPr>
    </w:p>
    <w:p w14:paraId="49B47A47">
      <w:pPr>
        <w:pStyle w:val="6"/>
        <w:adjustRightInd w:val="0"/>
        <w:snapToGrid w:val="0"/>
        <w:spacing w:line="288" w:lineRule="auto"/>
        <w:jc w:val="center"/>
        <w:rPr>
          <w:rFonts w:ascii="仿宋_GB2312" w:hAnsi="仿宋_GB2312" w:eastAsia="仿宋_GB2312"/>
          <w:b/>
          <w:sz w:val="32"/>
          <w:szCs w:val="24"/>
        </w:rPr>
      </w:pPr>
    </w:p>
    <w:p w14:paraId="3E13F533">
      <w:pPr>
        <w:pStyle w:val="6"/>
        <w:adjustRightInd w:val="0"/>
        <w:snapToGrid w:val="0"/>
        <w:spacing w:line="288" w:lineRule="auto"/>
        <w:jc w:val="center"/>
        <w:rPr>
          <w:rFonts w:ascii="仿宋_GB2312" w:hAnsi="仿宋_GB2312" w:eastAsia="仿宋_GB2312"/>
          <w:b/>
          <w:sz w:val="32"/>
          <w:szCs w:val="24"/>
        </w:rPr>
      </w:pPr>
    </w:p>
    <w:p w14:paraId="5622E22F">
      <w:pPr>
        <w:pStyle w:val="6"/>
        <w:adjustRightInd w:val="0"/>
        <w:snapToGrid w:val="0"/>
        <w:spacing w:line="288" w:lineRule="auto"/>
        <w:jc w:val="center"/>
        <w:rPr>
          <w:rFonts w:ascii="仿宋_GB2312" w:hAnsi="仿宋_GB2312" w:eastAsia="仿宋_GB2312"/>
          <w:b/>
          <w:sz w:val="32"/>
          <w:szCs w:val="24"/>
        </w:rPr>
      </w:pPr>
    </w:p>
    <w:p w14:paraId="2486C81D">
      <w:pPr>
        <w:pStyle w:val="6"/>
        <w:adjustRightInd w:val="0"/>
        <w:snapToGrid w:val="0"/>
        <w:spacing w:line="288" w:lineRule="auto"/>
        <w:jc w:val="center"/>
        <w:rPr>
          <w:rFonts w:ascii="仿宋_GB2312" w:hAnsi="仿宋_GB2312" w:eastAsia="仿宋_GB2312"/>
          <w:b/>
          <w:sz w:val="32"/>
          <w:szCs w:val="24"/>
        </w:rPr>
      </w:pPr>
    </w:p>
    <w:p w14:paraId="4D24A6D4">
      <w:pPr>
        <w:pStyle w:val="6"/>
        <w:adjustRightInd w:val="0"/>
        <w:snapToGrid w:val="0"/>
        <w:spacing w:line="288" w:lineRule="auto"/>
        <w:jc w:val="center"/>
        <w:rPr>
          <w:rFonts w:ascii="仿宋_GB2312" w:hAnsi="仿宋_GB2312" w:eastAsia="仿宋_GB2312"/>
          <w:b/>
          <w:sz w:val="32"/>
          <w:szCs w:val="24"/>
        </w:rPr>
      </w:pPr>
    </w:p>
    <w:p w14:paraId="09954A15">
      <w:pPr>
        <w:pStyle w:val="6"/>
        <w:adjustRightInd w:val="0"/>
        <w:snapToGrid w:val="0"/>
        <w:spacing w:line="288" w:lineRule="auto"/>
        <w:jc w:val="center"/>
        <w:rPr>
          <w:rFonts w:ascii="仿宋_GB2312" w:hAnsi="仿宋_GB2312" w:eastAsia="仿宋_GB2312"/>
          <w:b/>
          <w:sz w:val="32"/>
          <w:szCs w:val="24"/>
        </w:rPr>
      </w:pPr>
    </w:p>
    <w:p w14:paraId="1D60E12A">
      <w:pPr>
        <w:pStyle w:val="6"/>
        <w:adjustRightInd w:val="0"/>
        <w:snapToGrid w:val="0"/>
        <w:spacing w:line="288" w:lineRule="auto"/>
        <w:jc w:val="center"/>
        <w:rPr>
          <w:rFonts w:ascii="仿宋_GB2312" w:hAnsi="仿宋_GB2312" w:eastAsia="仿宋_GB2312"/>
          <w:b/>
          <w:sz w:val="32"/>
          <w:szCs w:val="24"/>
        </w:rPr>
      </w:pPr>
    </w:p>
    <w:p w14:paraId="3756895E">
      <w:pPr>
        <w:pStyle w:val="6"/>
        <w:adjustRightInd w:val="0"/>
        <w:snapToGrid w:val="0"/>
        <w:spacing w:line="288" w:lineRule="auto"/>
        <w:jc w:val="center"/>
        <w:rPr>
          <w:rFonts w:ascii="仿宋_GB2312" w:hAnsi="仿宋_GB2312" w:eastAsia="仿宋_GB2312"/>
          <w:b/>
          <w:sz w:val="32"/>
          <w:szCs w:val="24"/>
        </w:rPr>
      </w:pPr>
    </w:p>
    <w:p w14:paraId="5FCEDC1C">
      <w:pPr>
        <w:pStyle w:val="6"/>
        <w:adjustRightInd w:val="0"/>
        <w:snapToGrid w:val="0"/>
        <w:spacing w:line="288" w:lineRule="auto"/>
        <w:jc w:val="center"/>
        <w:rPr>
          <w:rFonts w:ascii="仿宋_GB2312" w:hAnsi="仿宋_GB2312" w:eastAsia="仿宋_GB2312"/>
          <w:b/>
          <w:sz w:val="32"/>
          <w:szCs w:val="24"/>
        </w:rPr>
      </w:pPr>
    </w:p>
    <w:p w14:paraId="4D4DB729">
      <w:pPr>
        <w:pStyle w:val="6"/>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lang w:val="en-US" w:eastAsia="zh-CN"/>
        </w:rPr>
        <w:t>五</w:t>
      </w:r>
      <w:r>
        <w:rPr>
          <w:rFonts w:hint="eastAsia" w:ascii="仿宋_GB2312" w:hAnsi="仿宋_GB2312" w:eastAsia="仿宋_GB2312"/>
          <w:b/>
          <w:sz w:val="32"/>
          <w:szCs w:val="24"/>
        </w:rPr>
        <w:t>、响应文件的递交</w:t>
      </w:r>
    </w:p>
    <w:p w14:paraId="39788473">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（一）响应文件的份数</w:t>
      </w:r>
    </w:p>
    <w:p w14:paraId="5F7E0079">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1、响应文件壹式</w:t>
      </w:r>
      <w:r>
        <w:rPr>
          <w:rFonts w:hint="eastAsia" w:ascii="仿宋_GB2312" w:hAnsi="仿宋_GB2312" w:eastAsia="仿宋_GB2312"/>
          <w:b/>
          <w:bCs/>
          <w:sz w:val="24"/>
          <w:szCs w:val="28"/>
          <w:lang w:val="en-US" w:eastAsia="zh-CN"/>
        </w:rPr>
        <w:t>肆</w:t>
      </w:r>
      <w:r>
        <w:rPr>
          <w:rFonts w:hint="eastAsia" w:ascii="仿宋_GB2312" w:hAnsi="仿宋_GB2312" w:eastAsia="仿宋_GB2312"/>
          <w:sz w:val="24"/>
          <w:szCs w:val="28"/>
        </w:rPr>
        <w:t>份，正本</w:t>
      </w:r>
      <w:r>
        <w:rPr>
          <w:rFonts w:hint="eastAsia" w:ascii="仿宋_GB2312" w:hAnsi="仿宋_GB2312" w:eastAsia="仿宋_GB2312"/>
          <w:b/>
          <w:bCs/>
          <w:sz w:val="24"/>
          <w:szCs w:val="28"/>
        </w:rPr>
        <w:t>壹</w:t>
      </w:r>
      <w:r>
        <w:rPr>
          <w:rFonts w:hint="eastAsia" w:ascii="仿宋_GB2312" w:hAnsi="仿宋_GB2312" w:eastAsia="仿宋_GB2312"/>
          <w:sz w:val="24"/>
          <w:szCs w:val="28"/>
        </w:rPr>
        <w:t>份、副本</w:t>
      </w:r>
      <w:r>
        <w:rPr>
          <w:rFonts w:hint="eastAsia" w:ascii="仿宋_GB2312" w:hAnsi="仿宋_GB2312" w:eastAsia="仿宋_GB2312"/>
          <w:b/>
          <w:bCs/>
          <w:sz w:val="24"/>
          <w:szCs w:val="28"/>
          <w:lang w:val="en-US" w:eastAsia="zh-CN"/>
        </w:rPr>
        <w:t>叁</w:t>
      </w:r>
      <w:r>
        <w:rPr>
          <w:rFonts w:hint="eastAsia" w:ascii="仿宋_GB2312" w:hAnsi="仿宋_GB2312" w:eastAsia="仿宋_GB2312"/>
          <w:sz w:val="24"/>
          <w:szCs w:val="28"/>
        </w:rPr>
        <w:t>份，并在响应文件封面右上角明确标明“正本”和“副本”。除缺页漏页外，正本和副本的内容应一致，否则响应无效。若响应文件数量与采购文件要求不一致，其响应文件可能被拒收，已接收的视为无效响应。因缺页漏页导致正本和副本内容不一致的，以正本为准。</w:t>
      </w:r>
    </w:p>
    <w:p w14:paraId="7FE513D8">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2、响应文件应装袋密封，并另附报价一览表（格式见附件）单独分装于密封袋内。密封袋包装外应注明响应项目编号、项目名称、供应商名称、响应联系人姓名及联系方式；并在包装封口处加盖印章。</w:t>
      </w:r>
    </w:p>
    <w:p w14:paraId="123749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3、全套响应文件应无涂改和行间插字现象，遇有必须修改或添加的内容，修改或添加处应由响应文件签署人加盖印鉴或盖供应商公章。</w:t>
      </w:r>
    </w:p>
    <w:p w14:paraId="6E02A305">
      <w:pPr>
        <w:widowControl/>
        <w:snapToGrid w:val="0"/>
        <w:spacing w:line="288" w:lineRule="auto"/>
        <w:ind w:firstLine="480" w:firstLineChars="200"/>
        <w:rPr>
          <w:rFonts w:ascii="仿宋_GB2312" w:hAnsi="仿宋_GB2312" w:eastAsia="仿宋_GB2312"/>
          <w:sz w:val="24"/>
          <w:szCs w:val="28"/>
        </w:rPr>
      </w:pPr>
    </w:p>
    <w:p w14:paraId="7634F78A">
      <w:pPr>
        <w:widowControl/>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（二）响应文件的递交</w:t>
      </w:r>
    </w:p>
    <w:p w14:paraId="69096B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响应文件应在采购文件规定的开标时间送达指定地点；逾期递交的响应文件，采购人概不受理。</w:t>
      </w:r>
    </w:p>
    <w:p w14:paraId="60567D31">
      <w:pPr>
        <w:widowControl/>
        <w:snapToGrid w:val="0"/>
        <w:spacing w:line="288" w:lineRule="auto"/>
        <w:ind w:firstLine="480" w:firstLineChars="200"/>
        <w:rPr>
          <w:rFonts w:hint="eastAsia" w:ascii="仿宋_GB2312" w:hAnsi="仿宋_GB2312" w:eastAsia="仿宋_GB2312"/>
          <w:sz w:val="24"/>
          <w:szCs w:val="28"/>
        </w:rPr>
      </w:pPr>
    </w:p>
    <w:p w14:paraId="2976D5DA">
      <w:pPr>
        <w:pStyle w:val="6"/>
        <w:adjustRightInd w:val="0"/>
        <w:snapToGrid w:val="0"/>
        <w:spacing w:line="288" w:lineRule="auto"/>
        <w:jc w:val="center"/>
        <w:rPr>
          <w:rFonts w:ascii="仿宋_GB2312" w:hAnsi="仿宋_GB2312" w:eastAsia="仿宋_GB2312"/>
          <w:b/>
          <w:sz w:val="32"/>
          <w:szCs w:val="24"/>
        </w:rPr>
      </w:pPr>
    </w:p>
    <w:p w14:paraId="6162482F">
      <w:pPr>
        <w:pStyle w:val="6"/>
        <w:adjustRightInd w:val="0"/>
        <w:snapToGrid w:val="0"/>
        <w:spacing w:line="288" w:lineRule="auto"/>
        <w:jc w:val="center"/>
        <w:rPr>
          <w:rFonts w:ascii="仿宋_GB2312" w:hAnsi="仿宋_GB2312" w:eastAsia="仿宋_GB2312"/>
          <w:b/>
          <w:sz w:val="32"/>
          <w:szCs w:val="24"/>
        </w:rPr>
      </w:pPr>
    </w:p>
    <w:p w14:paraId="43F1B0B6">
      <w:pPr>
        <w:pStyle w:val="6"/>
        <w:adjustRightInd w:val="0"/>
        <w:snapToGrid w:val="0"/>
        <w:spacing w:line="288" w:lineRule="auto"/>
        <w:jc w:val="center"/>
        <w:rPr>
          <w:rFonts w:ascii="仿宋_GB2312" w:hAnsi="仿宋_GB2312" w:eastAsia="仿宋_GB2312"/>
          <w:b/>
          <w:sz w:val="32"/>
          <w:szCs w:val="24"/>
        </w:rPr>
      </w:pPr>
    </w:p>
    <w:p w14:paraId="3B6DB5EB">
      <w:pPr>
        <w:pStyle w:val="6"/>
        <w:adjustRightInd w:val="0"/>
        <w:snapToGrid w:val="0"/>
        <w:spacing w:line="288" w:lineRule="auto"/>
        <w:jc w:val="center"/>
        <w:rPr>
          <w:rFonts w:ascii="仿宋_GB2312" w:hAnsi="仿宋_GB2312" w:eastAsia="仿宋_GB2312"/>
          <w:b/>
          <w:sz w:val="32"/>
          <w:szCs w:val="24"/>
        </w:rPr>
      </w:pPr>
    </w:p>
    <w:p w14:paraId="18411CE8">
      <w:pPr>
        <w:pStyle w:val="6"/>
        <w:adjustRightInd w:val="0"/>
        <w:snapToGrid w:val="0"/>
        <w:spacing w:line="288" w:lineRule="auto"/>
        <w:jc w:val="center"/>
        <w:rPr>
          <w:rFonts w:ascii="仿宋_GB2312" w:hAnsi="仿宋_GB2312" w:eastAsia="仿宋_GB2312"/>
          <w:b/>
          <w:sz w:val="32"/>
          <w:szCs w:val="24"/>
        </w:rPr>
      </w:pPr>
    </w:p>
    <w:p w14:paraId="42705141">
      <w:pPr>
        <w:pStyle w:val="6"/>
        <w:adjustRightInd w:val="0"/>
        <w:snapToGrid w:val="0"/>
        <w:spacing w:line="288" w:lineRule="auto"/>
        <w:jc w:val="center"/>
        <w:rPr>
          <w:rFonts w:ascii="仿宋_GB2312" w:hAnsi="仿宋_GB2312" w:eastAsia="仿宋_GB2312"/>
          <w:b/>
          <w:sz w:val="32"/>
          <w:szCs w:val="24"/>
        </w:rPr>
      </w:pPr>
    </w:p>
    <w:p w14:paraId="1A3D861C">
      <w:pPr>
        <w:pStyle w:val="6"/>
        <w:adjustRightInd w:val="0"/>
        <w:snapToGrid w:val="0"/>
        <w:spacing w:line="288" w:lineRule="auto"/>
        <w:jc w:val="center"/>
        <w:rPr>
          <w:rFonts w:ascii="仿宋_GB2312" w:hAnsi="仿宋_GB2312" w:eastAsia="仿宋_GB2312"/>
          <w:b/>
          <w:sz w:val="32"/>
          <w:szCs w:val="24"/>
        </w:rPr>
      </w:pPr>
    </w:p>
    <w:p w14:paraId="241A8A1A">
      <w:pPr>
        <w:pStyle w:val="6"/>
        <w:adjustRightInd w:val="0"/>
        <w:snapToGrid w:val="0"/>
        <w:spacing w:line="288" w:lineRule="auto"/>
        <w:jc w:val="center"/>
        <w:rPr>
          <w:rFonts w:ascii="仿宋_GB2312" w:hAnsi="仿宋_GB2312" w:eastAsia="仿宋_GB2312"/>
          <w:b/>
          <w:sz w:val="32"/>
          <w:szCs w:val="24"/>
        </w:rPr>
      </w:pPr>
    </w:p>
    <w:p w14:paraId="36FAEF8E">
      <w:pPr>
        <w:pStyle w:val="6"/>
        <w:adjustRightInd w:val="0"/>
        <w:snapToGrid w:val="0"/>
        <w:spacing w:line="288" w:lineRule="auto"/>
        <w:jc w:val="center"/>
        <w:rPr>
          <w:rFonts w:ascii="仿宋_GB2312" w:hAnsi="仿宋_GB2312" w:eastAsia="仿宋_GB2312"/>
          <w:b/>
          <w:sz w:val="32"/>
          <w:szCs w:val="24"/>
        </w:rPr>
      </w:pPr>
    </w:p>
    <w:p w14:paraId="1D18456D">
      <w:pPr>
        <w:pStyle w:val="6"/>
        <w:adjustRightInd w:val="0"/>
        <w:snapToGrid w:val="0"/>
        <w:spacing w:line="288" w:lineRule="auto"/>
        <w:jc w:val="center"/>
        <w:rPr>
          <w:rFonts w:ascii="仿宋_GB2312" w:hAnsi="仿宋_GB2312" w:eastAsia="仿宋_GB2312"/>
          <w:b/>
          <w:sz w:val="32"/>
          <w:szCs w:val="24"/>
        </w:rPr>
      </w:pPr>
    </w:p>
    <w:p w14:paraId="346259A6">
      <w:pPr>
        <w:pStyle w:val="6"/>
        <w:adjustRightInd w:val="0"/>
        <w:snapToGrid w:val="0"/>
        <w:spacing w:line="288" w:lineRule="auto"/>
        <w:jc w:val="center"/>
        <w:rPr>
          <w:rFonts w:ascii="仿宋_GB2312" w:hAnsi="仿宋_GB2312" w:eastAsia="仿宋_GB2312"/>
          <w:b/>
          <w:sz w:val="32"/>
          <w:szCs w:val="24"/>
        </w:rPr>
      </w:pPr>
    </w:p>
    <w:p w14:paraId="0FB7CC59">
      <w:pPr>
        <w:pStyle w:val="6"/>
        <w:adjustRightInd w:val="0"/>
        <w:snapToGrid w:val="0"/>
        <w:spacing w:line="288" w:lineRule="auto"/>
        <w:jc w:val="center"/>
        <w:rPr>
          <w:rFonts w:ascii="仿宋_GB2312" w:hAnsi="仿宋_GB2312" w:eastAsia="仿宋_GB2312"/>
          <w:b/>
          <w:sz w:val="32"/>
          <w:szCs w:val="24"/>
        </w:rPr>
      </w:pPr>
    </w:p>
    <w:p w14:paraId="5D6A48EB">
      <w:pPr>
        <w:pStyle w:val="6"/>
        <w:adjustRightInd w:val="0"/>
        <w:snapToGrid w:val="0"/>
        <w:spacing w:line="288" w:lineRule="auto"/>
        <w:jc w:val="center"/>
        <w:rPr>
          <w:rFonts w:ascii="仿宋_GB2312" w:hAnsi="仿宋_GB2312" w:eastAsia="仿宋_GB2312"/>
          <w:b/>
          <w:sz w:val="32"/>
          <w:szCs w:val="24"/>
        </w:rPr>
      </w:pPr>
    </w:p>
    <w:p w14:paraId="2C27C080">
      <w:pPr>
        <w:pStyle w:val="6"/>
        <w:adjustRightInd w:val="0"/>
        <w:snapToGrid w:val="0"/>
        <w:spacing w:line="288" w:lineRule="auto"/>
        <w:jc w:val="center"/>
        <w:rPr>
          <w:rFonts w:ascii="仿宋_GB2312" w:hAnsi="仿宋_GB2312" w:eastAsia="仿宋_GB2312"/>
          <w:b/>
          <w:sz w:val="32"/>
          <w:szCs w:val="24"/>
        </w:rPr>
      </w:pPr>
    </w:p>
    <w:p w14:paraId="356AF91A">
      <w:pPr>
        <w:pStyle w:val="6"/>
        <w:adjustRightInd w:val="0"/>
        <w:snapToGrid w:val="0"/>
        <w:spacing w:line="288" w:lineRule="auto"/>
        <w:jc w:val="center"/>
        <w:rPr>
          <w:rFonts w:ascii="仿宋_GB2312" w:hAnsi="仿宋_GB2312" w:eastAsia="仿宋_GB2312"/>
          <w:b/>
          <w:sz w:val="32"/>
          <w:szCs w:val="24"/>
        </w:rPr>
      </w:pPr>
    </w:p>
    <w:p w14:paraId="03C4A933">
      <w:pPr>
        <w:pStyle w:val="6"/>
        <w:adjustRightInd w:val="0"/>
        <w:snapToGrid w:val="0"/>
        <w:spacing w:line="288" w:lineRule="auto"/>
        <w:jc w:val="center"/>
        <w:rPr>
          <w:rFonts w:ascii="仿宋_GB2312" w:hAnsi="仿宋_GB2312" w:eastAsia="仿宋_GB2312"/>
          <w:b/>
          <w:sz w:val="32"/>
          <w:szCs w:val="24"/>
        </w:rPr>
      </w:pPr>
    </w:p>
    <w:p w14:paraId="4EF6DBC5">
      <w:pPr>
        <w:pStyle w:val="6"/>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lang w:val="en-US" w:eastAsia="zh-CN"/>
        </w:rPr>
        <w:t>六</w:t>
      </w:r>
      <w:r>
        <w:rPr>
          <w:rFonts w:hint="eastAsia" w:ascii="仿宋_GB2312" w:hAnsi="仿宋_GB2312" w:eastAsia="仿宋_GB2312"/>
          <w:b/>
          <w:sz w:val="32"/>
          <w:szCs w:val="24"/>
        </w:rPr>
        <w:t>、评审</w:t>
      </w:r>
    </w:p>
    <w:p w14:paraId="6F59EAA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（一）评审工作</w:t>
      </w:r>
    </w:p>
    <w:p w14:paraId="678C23EB">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评审工作，由南京大学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组织。</w:t>
      </w:r>
    </w:p>
    <w:p w14:paraId="064AD600">
      <w:pPr>
        <w:widowControl/>
        <w:snapToGrid w:val="0"/>
        <w:spacing w:line="288" w:lineRule="auto"/>
        <w:ind w:left="376"/>
        <w:rPr>
          <w:rFonts w:ascii="仿宋_GB2312" w:hAnsi="仿宋_GB2312" w:eastAsia="仿宋_GB2312"/>
          <w:sz w:val="24"/>
          <w:szCs w:val="28"/>
        </w:rPr>
      </w:pPr>
    </w:p>
    <w:p w14:paraId="0000797F">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（二）评审须知</w:t>
      </w:r>
    </w:p>
    <w:p w14:paraId="2D41B928">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1、为了有助于响应文件的审查、评价和比较，评标委员会可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14:paraId="4D68F9F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2、响应文件报价出现前后不一致的，除采购文件另有约定外，将按下述原则进行修正：</w:t>
      </w:r>
    </w:p>
    <w:p w14:paraId="4F4A567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（1）用数字表示的数额与用文字表示的数额不一致时，以文字数额为准；</w:t>
      </w:r>
    </w:p>
    <w:p w14:paraId="71E3F5FC">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（2）响应文件的大写金额和小写金额不一致的，以大写金额为准；总价金额与按单价汇总金额不一致的，以单价金额计算结果为准；单价金额小数点有明显错位的，应以总价为准，并修改单价。</w:t>
      </w:r>
      <w:r>
        <w:rPr>
          <w:rFonts w:hint="eastAsia" w:ascii="仿宋_GB2312" w:hAnsi="仿宋_GB2312" w:eastAsia="仿宋_GB2312"/>
          <w:snapToGrid w:val="0"/>
          <w:sz w:val="24"/>
        </w:rPr>
        <w:t>按前款规定调整后的报价经供应商确认后产生约束力。</w:t>
      </w:r>
    </w:p>
    <w:p w14:paraId="5160ADD2">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（3）对不同文字文本响应文件的解释发生异议的，以中文文本为准。</w:t>
      </w:r>
    </w:p>
    <w:p w14:paraId="04F93313">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3、在评标过程中，评标委员会若发现供应商的报价明显低于其他供应商的，可要求该供应商做出书面合理说明。如供应商做出的报价解释不合理、未能获得评标委员会认可的，其响应文件将作</w:t>
      </w:r>
      <w:r>
        <w:rPr>
          <w:rFonts w:hint="eastAsia" w:ascii="仿宋_GB2312" w:hAnsi="仿宋_GB2312" w:eastAsia="仿宋_GB2312"/>
          <w:sz w:val="24"/>
          <w:szCs w:val="28"/>
        </w:rPr>
        <w:t>响应无效</w:t>
      </w:r>
      <w:r>
        <w:rPr>
          <w:rFonts w:hint="eastAsia" w:ascii="仿宋_GB2312" w:hAnsi="仿宋_GB2312" w:eastAsia="仿宋_GB2312"/>
          <w:snapToGrid w:val="0"/>
          <w:sz w:val="24"/>
        </w:rPr>
        <w:t>处理。</w:t>
      </w:r>
    </w:p>
    <w:p w14:paraId="672914F3">
      <w:pPr>
        <w:widowControl/>
        <w:snapToGrid w:val="0"/>
        <w:spacing w:line="288" w:lineRule="auto"/>
        <w:ind w:firstLine="480" w:firstLineChars="200"/>
        <w:rPr>
          <w:rFonts w:ascii="仿宋_GB2312" w:hAnsi="仿宋_GB2312" w:eastAsia="仿宋_GB2312"/>
          <w:sz w:val="24"/>
          <w:szCs w:val="28"/>
        </w:rPr>
      </w:pPr>
    </w:p>
    <w:p w14:paraId="2E159F32">
      <w:pPr>
        <w:snapToGrid w:val="0"/>
        <w:spacing w:line="288" w:lineRule="auto"/>
        <w:ind w:firstLine="482" w:firstLineChars="200"/>
        <w:rPr>
          <w:rFonts w:ascii="仿宋_GB2312" w:hAnsi="仿宋_GB2312" w:eastAsia="仿宋_GB2312"/>
          <w:sz w:val="24"/>
        </w:rPr>
      </w:pPr>
      <w:r>
        <w:rPr>
          <w:rFonts w:hint="eastAsia" w:ascii="仿宋_GB2312" w:hAnsi="仿宋_GB2312" w:eastAsia="仿宋_GB2312"/>
          <w:b/>
          <w:sz w:val="24"/>
        </w:rPr>
        <w:t>(三)评审原则</w:t>
      </w:r>
    </w:p>
    <w:p w14:paraId="0E8910BE">
      <w:pPr>
        <w:snapToGrid w:val="0"/>
        <w:spacing w:line="288" w:lineRule="auto"/>
        <w:ind w:firstLine="482" w:firstLineChars="200"/>
        <w:rPr>
          <w:rFonts w:ascii="仿宋_GB2312" w:hAnsi="仿宋_GB2312" w:eastAsia="仿宋_GB2312"/>
          <w:sz w:val="24"/>
          <w:szCs w:val="28"/>
        </w:rPr>
      </w:pPr>
      <w:r>
        <w:rPr>
          <w:rFonts w:hint="eastAsia" w:ascii="仿宋_GB2312" w:hAnsi="仿宋_GB2312" w:eastAsia="仿宋_GB2312"/>
          <w:b/>
          <w:sz w:val="24"/>
        </w:rPr>
        <w:t>综合评分法：</w:t>
      </w:r>
      <w:r>
        <w:rPr>
          <w:rFonts w:hint="eastAsia" w:ascii="仿宋_GB2312" w:hAnsi="仿宋_GB2312" w:eastAsia="仿宋_GB2312"/>
          <w:sz w:val="24"/>
          <w:szCs w:val="28"/>
        </w:rPr>
        <w:t>由评审委员会对各供应商的响应价格、技术方案、业绩、服务、优惠承诺、对采购文件的响应程度等进行评价，按照采购文件规定的比重或者权值等进行打分。</w:t>
      </w:r>
    </w:p>
    <w:p w14:paraId="323A6576">
      <w:pPr>
        <w:snapToGrid w:val="0"/>
        <w:spacing w:line="288" w:lineRule="auto"/>
        <w:rPr>
          <w:rFonts w:ascii="仿宋_GB2312" w:hAnsi="仿宋_GB2312" w:eastAsia="仿宋_GB2312"/>
          <w:sz w:val="24"/>
          <w:szCs w:val="28"/>
        </w:rPr>
      </w:pPr>
    </w:p>
    <w:p w14:paraId="6E8ADFAC">
      <w:pPr>
        <w:snapToGrid w:val="0"/>
        <w:spacing w:line="288" w:lineRule="auto"/>
        <w:ind w:firstLine="482" w:firstLineChars="200"/>
        <w:rPr>
          <w:rFonts w:hint="eastAsia" w:ascii="仿宋" w:hAnsi="仿宋" w:eastAsia="仿宋" w:cs="仿宋"/>
          <w:bCs/>
          <w:sz w:val="28"/>
          <w:szCs w:val="28"/>
          <w:lang w:val="en-US" w:eastAsia="zh-CN"/>
        </w:rPr>
      </w:pPr>
      <w:r>
        <w:rPr>
          <w:rFonts w:hint="eastAsia" w:ascii="仿宋_GB2312" w:hAnsi="仿宋_GB2312" w:eastAsia="仿宋_GB2312"/>
          <w:b/>
          <w:sz w:val="24"/>
        </w:rPr>
        <w:t>（四）评审</w:t>
      </w:r>
      <w:r>
        <w:rPr>
          <w:rFonts w:hint="eastAsia" w:ascii="仿宋_GB2312" w:hAnsi="仿宋_GB2312" w:eastAsia="仿宋_GB2312"/>
          <w:b/>
          <w:sz w:val="24"/>
          <w:lang w:val="en-US" w:eastAsia="zh-CN"/>
        </w:rPr>
        <w:t>细则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00"/>
        <w:gridCol w:w="840"/>
        <w:gridCol w:w="4620"/>
        <w:gridCol w:w="1122"/>
      </w:tblGrid>
      <w:tr w14:paraId="27E5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17" w:type="dxa"/>
            <w:noWrap w:val="0"/>
            <w:vAlign w:val="center"/>
          </w:tcPr>
          <w:p w14:paraId="44E13DCE">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序号</w:t>
            </w:r>
          </w:p>
        </w:tc>
        <w:tc>
          <w:tcPr>
            <w:tcW w:w="1200" w:type="dxa"/>
            <w:noWrap w:val="0"/>
            <w:vAlign w:val="center"/>
          </w:tcPr>
          <w:p w14:paraId="5803FBD6">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评审项目</w:t>
            </w:r>
          </w:p>
        </w:tc>
        <w:tc>
          <w:tcPr>
            <w:tcW w:w="840" w:type="dxa"/>
            <w:noWrap w:val="0"/>
            <w:vAlign w:val="center"/>
          </w:tcPr>
          <w:p w14:paraId="364FF9ED">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分值</w:t>
            </w:r>
          </w:p>
        </w:tc>
        <w:tc>
          <w:tcPr>
            <w:tcW w:w="4620" w:type="dxa"/>
            <w:noWrap w:val="0"/>
            <w:vAlign w:val="center"/>
          </w:tcPr>
          <w:p w14:paraId="44ABD9DF">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评分标准</w:t>
            </w:r>
          </w:p>
        </w:tc>
        <w:tc>
          <w:tcPr>
            <w:tcW w:w="1122" w:type="dxa"/>
            <w:noWrap w:val="0"/>
            <w:vAlign w:val="center"/>
          </w:tcPr>
          <w:p w14:paraId="58D6C4C8">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投标文件相应文档</w:t>
            </w:r>
          </w:p>
        </w:tc>
      </w:tr>
      <w:tr w14:paraId="0783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9" w:type="dxa"/>
            <w:gridSpan w:val="5"/>
            <w:noWrap w:val="0"/>
            <w:vAlign w:val="center"/>
          </w:tcPr>
          <w:p w14:paraId="53A7A3F5">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一、报价（50分）</w:t>
            </w:r>
          </w:p>
        </w:tc>
      </w:tr>
      <w:tr w14:paraId="08A7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25B81CC7">
            <w:pPr>
              <w:snapToGrid w:val="0"/>
              <w:spacing w:line="288" w:lineRule="auto"/>
              <w:ind w:firstLine="420" w:firstLineChars="200"/>
              <w:jc w:val="center"/>
              <w:rPr>
                <w:rFonts w:hint="default" w:ascii="仿宋_GB2312" w:hAnsi="仿宋_GB2312" w:eastAsia="仿宋_GB2312" w:cs="Times New Roman"/>
                <w:sz w:val="21"/>
                <w:szCs w:val="21"/>
                <w:lang w:val="en-US" w:eastAsia="zh-CN"/>
              </w:rPr>
            </w:pPr>
          </w:p>
        </w:tc>
        <w:tc>
          <w:tcPr>
            <w:tcW w:w="1200" w:type="dxa"/>
            <w:noWrap w:val="0"/>
            <w:vAlign w:val="center"/>
          </w:tcPr>
          <w:p w14:paraId="0964D78D">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报价</w:t>
            </w:r>
          </w:p>
        </w:tc>
        <w:tc>
          <w:tcPr>
            <w:tcW w:w="840" w:type="dxa"/>
            <w:noWrap w:val="0"/>
            <w:vAlign w:val="center"/>
          </w:tcPr>
          <w:p w14:paraId="48743A6D">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50</w:t>
            </w:r>
          </w:p>
        </w:tc>
        <w:tc>
          <w:tcPr>
            <w:tcW w:w="4620" w:type="dxa"/>
            <w:noWrap w:val="0"/>
            <w:vAlign w:val="top"/>
          </w:tcPr>
          <w:p w14:paraId="35C5B216">
            <w:pPr>
              <w:snapToGrid w:val="0"/>
              <w:spacing w:line="288" w:lineRule="auto"/>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1、确定评标基准价：有效投标人报价的算术平均值作为评标基准价（小数点后保留两位）。</w:t>
            </w:r>
          </w:p>
          <w:p w14:paraId="5B723F84">
            <w:pPr>
              <w:snapToGrid w:val="0"/>
              <w:spacing w:line="288" w:lineRule="auto"/>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2、计算投标报价得分：</w:t>
            </w:r>
          </w:p>
          <w:p w14:paraId="1306925F">
            <w:pPr>
              <w:snapToGrid w:val="0"/>
              <w:spacing w:line="288" w:lineRule="auto"/>
              <w:rPr>
                <w:rFonts w:hint="eastAsia" w:ascii="仿宋_GB2312" w:hAnsi="仿宋_GB2312" w:eastAsia="仿宋_GB2312" w:cs="Times New Roman"/>
                <w:sz w:val="21"/>
                <w:szCs w:val="21"/>
              </w:rPr>
            </w:pPr>
            <w:r>
              <w:rPr>
                <w:rFonts w:hint="eastAsia" w:ascii="仿宋_GB2312" w:hAnsi="仿宋_GB2312" w:eastAsia="仿宋_GB2312" w:cs="Times New Roman"/>
                <w:sz w:val="21"/>
                <w:szCs w:val="21"/>
                <w:lang w:val="en-US" w:eastAsia="zh-CN"/>
              </w:rPr>
              <w:t>投标报价等于评标基准价的得满分50分。</w:t>
            </w:r>
          </w:p>
          <w:p w14:paraId="676CDFAF">
            <w:pPr>
              <w:snapToGrid w:val="0"/>
              <w:spacing w:line="288" w:lineRule="auto"/>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投标人报价每高于评标基准价1%，扣1分；</w:t>
            </w:r>
          </w:p>
          <w:p w14:paraId="0656B73D">
            <w:pPr>
              <w:snapToGrid w:val="0"/>
              <w:spacing w:line="288" w:lineRule="auto"/>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投标人报价每低于评标基准价1%，扣0.5分；</w:t>
            </w:r>
          </w:p>
        </w:tc>
        <w:tc>
          <w:tcPr>
            <w:tcW w:w="1122" w:type="dxa"/>
            <w:noWrap w:val="0"/>
            <w:vAlign w:val="center"/>
          </w:tcPr>
          <w:p w14:paraId="1F989AB3">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报价表</w:t>
            </w:r>
          </w:p>
        </w:tc>
      </w:tr>
      <w:tr w14:paraId="111C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9" w:type="dxa"/>
            <w:gridSpan w:val="5"/>
            <w:noWrap w:val="0"/>
            <w:vAlign w:val="center"/>
          </w:tcPr>
          <w:p w14:paraId="4CCC2581">
            <w:pPr>
              <w:snapToGrid w:val="0"/>
              <w:spacing w:line="288" w:lineRule="auto"/>
              <w:jc w:val="center"/>
              <w:rPr>
                <w:rFonts w:hint="default" w:ascii="仿宋_GB2312" w:hAnsi="仿宋_GB2312" w:eastAsia="仿宋_GB2312" w:cs="Times New Roman"/>
                <w:sz w:val="21"/>
                <w:szCs w:val="21"/>
                <w:lang w:val="en-US"/>
              </w:rPr>
            </w:pPr>
            <w:r>
              <w:rPr>
                <w:rFonts w:hint="eastAsia" w:ascii="仿宋_GB2312" w:hAnsi="仿宋_GB2312" w:eastAsia="仿宋_GB2312" w:cs="Times New Roman"/>
                <w:sz w:val="21"/>
                <w:szCs w:val="21"/>
                <w:lang w:val="en-US" w:eastAsia="zh-CN"/>
              </w:rPr>
              <w:t>二、商务方案（50分）</w:t>
            </w:r>
          </w:p>
        </w:tc>
      </w:tr>
      <w:tr w14:paraId="1DA4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noWrap w:val="0"/>
            <w:vAlign w:val="center"/>
          </w:tcPr>
          <w:p w14:paraId="36D1758F">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综合</w:t>
            </w:r>
          </w:p>
          <w:p w14:paraId="2601838F">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实力</w:t>
            </w:r>
          </w:p>
          <w:p w14:paraId="20AAF1A7">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20分</w:t>
            </w:r>
          </w:p>
          <w:p w14:paraId="2533FBCF">
            <w:pPr>
              <w:snapToGrid w:val="0"/>
              <w:spacing w:line="288" w:lineRule="auto"/>
              <w:ind w:firstLine="420" w:firstLineChars="200"/>
              <w:jc w:val="center"/>
              <w:rPr>
                <w:rFonts w:hint="default" w:ascii="仿宋_GB2312" w:hAnsi="仿宋_GB2312" w:eastAsia="仿宋_GB2312" w:cs="Times New Roman"/>
                <w:sz w:val="21"/>
                <w:szCs w:val="21"/>
                <w:lang w:val="en-US" w:eastAsia="zh-CN"/>
              </w:rPr>
            </w:pPr>
          </w:p>
        </w:tc>
        <w:tc>
          <w:tcPr>
            <w:tcW w:w="1200" w:type="dxa"/>
            <w:noWrap w:val="0"/>
            <w:vAlign w:val="center"/>
          </w:tcPr>
          <w:p w14:paraId="42E04AB7">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资本金</w:t>
            </w:r>
          </w:p>
        </w:tc>
        <w:tc>
          <w:tcPr>
            <w:tcW w:w="840" w:type="dxa"/>
            <w:noWrap w:val="0"/>
            <w:vAlign w:val="center"/>
          </w:tcPr>
          <w:p w14:paraId="627E8289">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5</w:t>
            </w:r>
          </w:p>
        </w:tc>
        <w:tc>
          <w:tcPr>
            <w:tcW w:w="4620" w:type="dxa"/>
            <w:noWrap w:val="0"/>
            <w:vAlign w:val="top"/>
          </w:tcPr>
          <w:p w14:paraId="00DC571F">
            <w:pPr>
              <w:snapToGrid w:val="0"/>
              <w:spacing w:line="288" w:lineRule="auto"/>
              <w:ind w:firstLine="420" w:firstLineChars="200"/>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投标人总公司注册</w:t>
            </w:r>
            <w:r>
              <w:rPr>
                <w:rFonts w:hint="eastAsia" w:ascii="仿宋_GB2312" w:hAnsi="仿宋_GB2312" w:eastAsia="仿宋_GB2312" w:cs="Times New Roman"/>
                <w:sz w:val="21"/>
                <w:szCs w:val="21"/>
              </w:rPr>
              <w:t>资本金25亿元人民币的得</w:t>
            </w:r>
            <w:r>
              <w:rPr>
                <w:rFonts w:hint="eastAsia" w:ascii="仿宋_GB2312" w:hAnsi="仿宋_GB2312" w:eastAsia="仿宋_GB2312" w:cs="Times New Roman"/>
                <w:sz w:val="21"/>
                <w:szCs w:val="21"/>
                <w:lang w:val="en-US" w:eastAsia="zh-CN"/>
              </w:rPr>
              <w:t>3</w:t>
            </w:r>
            <w:r>
              <w:rPr>
                <w:rFonts w:hint="eastAsia" w:ascii="仿宋_GB2312" w:hAnsi="仿宋_GB2312" w:eastAsia="仿宋_GB2312" w:cs="Times New Roman"/>
                <w:sz w:val="21"/>
                <w:szCs w:val="21"/>
              </w:rPr>
              <w:t>分，</w:t>
            </w:r>
            <w:r>
              <w:rPr>
                <w:rFonts w:hint="eastAsia" w:ascii="仿宋_GB2312" w:hAnsi="仿宋_GB2312" w:eastAsia="仿宋_GB2312" w:cs="Times New Roman"/>
                <w:sz w:val="21"/>
                <w:szCs w:val="21"/>
                <w:lang w:val="en-US" w:eastAsia="zh-CN"/>
              </w:rPr>
              <w:t>注册</w:t>
            </w:r>
            <w:r>
              <w:rPr>
                <w:rFonts w:hint="eastAsia" w:ascii="仿宋_GB2312" w:hAnsi="仿宋_GB2312" w:eastAsia="仿宋_GB2312" w:cs="Times New Roman"/>
                <w:sz w:val="21"/>
                <w:szCs w:val="21"/>
              </w:rPr>
              <w:t>资本金每增加25亿元人民币加</w:t>
            </w:r>
            <w:r>
              <w:rPr>
                <w:rFonts w:hint="eastAsia" w:ascii="仿宋_GB2312" w:hAnsi="仿宋_GB2312" w:eastAsia="仿宋_GB2312" w:cs="Times New Roman"/>
                <w:sz w:val="21"/>
                <w:szCs w:val="21"/>
                <w:lang w:val="en-US" w:eastAsia="zh-CN"/>
              </w:rPr>
              <w:t>1</w:t>
            </w:r>
            <w:r>
              <w:rPr>
                <w:rFonts w:hint="eastAsia" w:ascii="仿宋_GB2312" w:hAnsi="仿宋_GB2312" w:eastAsia="仿宋_GB2312" w:cs="Times New Roman"/>
                <w:sz w:val="21"/>
                <w:szCs w:val="21"/>
              </w:rPr>
              <w:t>分，增加不足25亿元的不加分，最高分</w:t>
            </w:r>
            <w:r>
              <w:rPr>
                <w:rFonts w:hint="eastAsia" w:ascii="仿宋_GB2312" w:hAnsi="仿宋_GB2312" w:eastAsia="仿宋_GB2312" w:cs="Times New Roman"/>
                <w:sz w:val="21"/>
                <w:szCs w:val="21"/>
                <w:lang w:val="en-US" w:eastAsia="zh-CN"/>
              </w:rPr>
              <w:t>2</w:t>
            </w:r>
            <w:r>
              <w:rPr>
                <w:rFonts w:hint="eastAsia" w:ascii="仿宋_GB2312" w:hAnsi="仿宋_GB2312" w:eastAsia="仿宋_GB2312" w:cs="Times New Roman"/>
                <w:sz w:val="21"/>
                <w:szCs w:val="21"/>
              </w:rPr>
              <w:t>分。</w:t>
            </w:r>
            <w:r>
              <w:rPr>
                <w:rFonts w:hint="eastAsia" w:ascii="仿宋_GB2312" w:hAnsi="仿宋_GB2312" w:eastAsia="仿宋_GB2312" w:cs="Times New Roman"/>
                <w:sz w:val="21"/>
                <w:szCs w:val="21"/>
                <w:lang w:val="en-US" w:eastAsia="zh-CN"/>
              </w:rPr>
              <w:t>不足25亿元人民币的不得分。</w:t>
            </w:r>
          </w:p>
        </w:tc>
        <w:tc>
          <w:tcPr>
            <w:tcW w:w="1122" w:type="dxa"/>
            <w:noWrap w:val="0"/>
            <w:vAlign w:val="center"/>
          </w:tcPr>
          <w:p w14:paraId="6FD37998">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营业执照</w:t>
            </w:r>
          </w:p>
        </w:tc>
      </w:tr>
      <w:tr w14:paraId="3F93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noWrap w:val="0"/>
            <w:vAlign w:val="center"/>
          </w:tcPr>
          <w:p w14:paraId="685739EA">
            <w:pPr>
              <w:snapToGrid w:val="0"/>
              <w:spacing w:line="288" w:lineRule="auto"/>
              <w:ind w:firstLine="420" w:firstLineChars="200"/>
              <w:jc w:val="center"/>
              <w:rPr>
                <w:rFonts w:hint="eastAsia" w:ascii="仿宋_GB2312" w:hAnsi="仿宋_GB2312" w:eastAsia="仿宋_GB2312" w:cs="Times New Roman"/>
                <w:sz w:val="21"/>
                <w:szCs w:val="21"/>
                <w:lang w:val="en-US" w:eastAsia="zh-CN"/>
              </w:rPr>
            </w:pPr>
          </w:p>
        </w:tc>
        <w:tc>
          <w:tcPr>
            <w:tcW w:w="1200" w:type="dxa"/>
            <w:noWrap w:val="0"/>
            <w:vAlign w:val="center"/>
          </w:tcPr>
          <w:p w14:paraId="2381C80B">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综合偿付能力充足率</w:t>
            </w:r>
          </w:p>
        </w:tc>
        <w:tc>
          <w:tcPr>
            <w:tcW w:w="840" w:type="dxa"/>
            <w:noWrap w:val="0"/>
            <w:vAlign w:val="center"/>
          </w:tcPr>
          <w:p w14:paraId="64102070">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10</w:t>
            </w:r>
          </w:p>
        </w:tc>
        <w:tc>
          <w:tcPr>
            <w:tcW w:w="4620" w:type="dxa"/>
            <w:noWrap w:val="0"/>
            <w:vAlign w:val="top"/>
          </w:tcPr>
          <w:p w14:paraId="0451C279">
            <w:pPr>
              <w:snapToGrid w:val="0"/>
              <w:spacing w:line="288" w:lineRule="auto"/>
              <w:ind w:firstLine="420" w:firstLineChars="200"/>
              <w:rPr>
                <w:rFonts w:hint="eastAsia" w:ascii="仿宋_GB2312" w:hAnsi="仿宋_GB2312" w:eastAsia="仿宋_GB2312" w:cs="Times New Roman"/>
                <w:sz w:val="21"/>
                <w:szCs w:val="21"/>
              </w:rPr>
            </w:pPr>
            <w:r>
              <w:rPr>
                <w:rFonts w:hint="eastAsia" w:ascii="仿宋_GB2312" w:hAnsi="仿宋_GB2312" w:eastAsia="仿宋_GB2312" w:cs="Times New Roman"/>
                <w:sz w:val="21"/>
                <w:szCs w:val="21"/>
                <w:lang w:val="en-US" w:eastAsia="zh-CN"/>
              </w:rPr>
              <w:t>投标人总公司为</w:t>
            </w:r>
            <w:r>
              <w:rPr>
                <w:rFonts w:hint="eastAsia" w:ascii="仿宋_GB2312" w:hAnsi="仿宋_GB2312" w:eastAsia="仿宋_GB2312" w:cs="Times New Roman"/>
                <w:sz w:val="21"/>
                <w:szCs w:val="21"/>
              </w:rPr>
              <w:t>充足II类公司（</w:t>
            </w:r>
            <w:r>
              <w:rPr>
                <w:rFonts w:hint="eastAsia" w:ascii="仿宋_GB2312" w:hAnsi="仿宋_GB2312" w:eastAsia="仿宋_GB2312" w:cs="Times New Roman"/>
                <w:sz w:val="21"/>
                <w:szCs w:val="21"/>
                <w:lang w:val="en-US" w:eastAsia="zh-CN"/>
              </w:rPr>
              <w:t>综合</w:t>
            </w:r>
            <w:r>
              <w:rPr>
                <w:rFonts w:hint="eastAsia" w:ascii="仿宋_GB2312" w:hAnsi="仿宋_GB2312" w:eastAsia="仿宋_GB2312" w:cs="Times New Roman"/>
                <w:sz w:val="21"/>
                <w:szCs w:val="21"/>
              </w:rPr>
              <w:t>偿付能力充足率高于150％）得</w:t>
            </w:r>
            <w:r>
              <w:rPr>
                <w:rFonts w:hint="eastAsia" w:ascii="仿宋_GB2312" w:hAnsi="仿宋_GB2312" w:eastAsia="仿宋_GB2312" w:cs="Times New Roman"/>
                <w:sz w:val="21"/>
                <w:szCs w:val="21"/>
                <w:lang w:val="en-US" w:eastAsia="zh-CN"/>
              </w:rPr>
              <w:t>10</w:t>
            </w:r>
            <w:r>
              <w:rPr>
                <w:rFonts w:hint="eastAsia" w:ascii="仿宋_GB2312" w:hAnsi="仿宋_GB2312" w:eastAsia="仿宋_GB2312" w:cs="Times New Roman"/>
                <w:sz w:val="21"/>
                <w:szCs w:val="21"/>
              </w:rPr>
              <w:t>分；</w:t>
            </w:r>
          </w:p>
          <w:p w14:paraId="0113287B">
            <w:pPr>
              <w:snapToGrid w:val="0"/>
              <w:spacing w:line="288" w:lineRule="auto"/>
              <w:ind w:firstLine="420" w:firstLineChars="200"/>
              <w:rPr>
                <w:rFonts w:hint="eastAsia" w:ascii="仿宋_GB2312" w:hAnsi="仿宋_GB2312" w:eastAsia="仿宋_GB2312" w:cs="Times New Roman"/>
                <w:sz w:val="21"/>
                <w:szCs w:val="21"/>
              </w:rPr>
            </w:pPr>
            <w:r>
              <w:rPr>
                <w:rFonts w:hint="eastAsia" w:ascii="仿宋_GB2312" w:hAnsi="仿宋_GB2312" w:eastAsia="仿宋_GB2312" w:cs="Times New Roman"/>
                <w:sz w:val="21"/>
                <w:szCs w:val="21"/>
              </w:rPr>
              <w:t>充足I类公司（</w:t>
            </w:r>
            <w:r>
              <w:rPr>
                <w:rFonts w:hint="eastAsia" w:ascii="仿宋_GB2312" w:hAnsi="仿宋_GB2312" w:eastAsia="仿宋_GB2312" w:cs="Times New Roman"/>
                <w:sz w:val="21"/>
                <w:szCs w:val="21"/>
                <w:lang w:val="en-US" w:eastAsia="zh-CN"/>
              </w:rPr>
              <w:t>综合</w:t>
            </w:r>
            <w:r>
              <w:rPr>
                <w:rFonts w:hint="eastAsia" w:ascii="仿宋_GB2312" w:hAnsi="仿宋_GB2312" w:eastAsia="仿宋_GB2312" w:cs="Times New Roman"/>
                <w:sz w:val="21"/>
                <w:szCs w:val="21"/>
              </w:rPr>
              <w:t>偿付能力充足率在100％到150％之间），得</w:t>
            </w:r>
            <w:r>
              <w:rPr>
                <w:rFonts w:hint="eastAsia" w:ascii="仿宋_GB2312" w:hAnsi="仿宋_GB2312" w:eastAsia="仿宋_GB2312" w:cs="Times New Roman"/>
                <w:sz w:val="21"/>
                <w:szCs w:val="21"/>
                <w:lang w:val="en-US" w:eastAsia="zh-CN"/>
              </w:rPr>
              <w:t>5</w:t>
            </w:r>
            <w:r>
              <w:rPr>
                <w:rFonts w:hint="eastAsia" w:ascii="仿宋_GB2312" w:hAnsi="仿宋_GB2312" w:eastAsia="仿宋_GB2312" w:cs="Times New Roman"/>
                <w:sz w:val="21"/>
                <w:szCs w:val="21"/>
              </w:rPr>
              <w:t>分；</w:t>
            </w:r>
          </w:p>
          <w:p w14:paraId="1FCEBDB0">
            <w:pPr>
              <w:snapToGrid w:val="0"/>
              <w:spacing w:line="288" w:lineRule="auto"/>
              <w:ind w:firstLine="420" w:firstLineChars="200"/>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综合</w:t>
            </w:r>
            <w:r>
              <w:rPr>
                <w:rFonts w:hint="eastAsia" w:ascii="仿宋_GB2312" w:hAnsi="仿宋_GB2312" w:eastAsia="仿宋_GB2312" w:cs="Times New Roman"/>
                <w:sz w:val="21"/>
                <w:szCs w:val="21"/>
              </w:rPr>
              <w:t>偿付能力充足率低于100％，不得分。</w:t>
            </w:r>
          </w:p>
        </w:tc>
        <w:tc>
          <w:tcPr>
            <w:tcW w:w="1122" w:type="dxa"/>
            <w:noWrap w:val="0"/>
            <w:vAlign w:val="center"/>
          </w:tcPr>
          <w:p w14:paraId="245377D1">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相关说明文件</w:t>
            </w:r>
          </w:p>
        </w:tc>
      </w:tr>
      <w:tr w14:paraId="0E80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noWrap w:val="0"/>
            <w:vAlign w:val="center"/>
          </w:tcPr>
          <w:p w14:paraId="04368867">
            <w:pPr>
              <w:snapToGrid w:val="0"/>
              <w:spacing w:line="288" w:lineRule="auto"/>
              <w:ind w:firstLine="420" w:firstLineChars="200"/>
              <w:jc w:val="center"/>
              <w:rPr>
                <w:rFonts w:hint="eastAsia" w:ascii="仿宋_GB2312" w:hAnsi="仿宋_GB2312" w:eastAsia="仿宋_GB2312" w:cs="Times New Roman"/>
                <w:sz w:val="21"/>
                <w:szCs w:val="21"/>
                <w:lang w:val="en-US" w:eastAsia="zh-CN"/>
              </w:rPr>
            </w:pPr>
          </w:p>
        </w:tc>
        <w:tc>
          <w:tcPr>
            <w:tcW w:w="1200" w:type="dxa"/>
            <w:noWrap w:val="0"/>
            <w:vAlign w:val="center"/>
          </w:tcPr>
          <w:p w14:paraId="49C2AF5E">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经营信誉</w:t>
            </w:r>
          </w:p>
        </w:tc>
        <w:tc>
          <w:tcPr>
            <w:tcW w:w="840" w:type="dxa"/>
            <w:noWrap w:val="0"/>
            <w:vAlign w:val="center"/>
          </w:tcPr>
          <w:p w14:paraId="1416C749">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5</w:t>
            </w:r>
          </w:p>
        </w:tc>
        <w:tc>
          <w:tcPr>
            <w:tcW w:w="4620" w:type="dxa"/>
            <w:noWrap w:val="0"/>
            <w:vAlign w:val="top"/>
          </w:tcPr>
          <w:p w14:paraId="239A1492">
            <w:pPr>
              <w:snapToGrid w:val="0"/>
              <w:spacing w:line="288" w:lineRule="auto"/>
              <w:ind w:firstLine="420" w:firstLineChars="200"/>
              <w:jc w:val="left"/>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根据</w:t>
            </w:r>
            <w:r>
              <w:rPr>
                <w:rFonts w:hint="eastAsia" w:ascii="仿宋_GB2312" w:hAnsi="仿宋_GB2312" w:eastAsia="仿宋_GB2312" w:cs="Times New Roman"/>
                <w:sz w:val="21"/>
                <w:szCs w:val="21"/>
              </w:rPr>
              <w:t>江苏省银保监会</w:t>
            </w:r>
            <w:r>
              <w:rPr>
                <w:rFonts w:hint="eastAsia" w:ascii="仿宋_GB2312" w:hAnsi="仿宋_GB2312" w:eastAsia="仿宋_GB2312" w:cs="Times New Roman"/>
                <w:sz w:val="21"/>
                <w:szCs w:val="21"/>
                <w:lang w:eastAsia="zh-CN"/>
              </w:rPr>
              <w:t>（</w:t>
            </w:r>
            <w:r>
              <w:rPr>
                <w:rFonts w:hint="eastAsia" w:ascii="仿宋_GB2312" w:hAnsi="仿宋_GB2312" w:eastAsia="仿宋_GB2312" w:cs="Times New Roman"/>
                <w:sz w:val="21"/>
                <w:szCs w:val="21"/>
                <w:lang w:val="en-US" w:eastAsia="zh-CN"/>
              </w:rPr>
              <w:t>或当地省级监管机构）</w:t>
            </w:r>
            <w:r>
              <w:rPr>
                <w:rFonts w:hint="eastAsia" w:ascii="仿宋_GB2312" w:hAnsi="仿宋_GB2312" w:eastAsia="仿宋_GB2312" w:cs="Times New Roman"/>
                <w:sz w:val="21"/>
                <w:szCs w:val="21"/>
              </w:rPr>
              <w:t>202</w:t>
            </w:r>
            <w:r>
              <w:rPr>
                <w:rFonts w:hint="eastAsia" w:ascii="仿宋_GB2312" w:hAnsi="仿宋_GB2312" w:eastAsia="仿宋_GB2312" w:cs="Times New Roman"/>
                <w:sz w:val="21"/>
                <w:szCs w:val="21"/>
                <w:lang w:val="en-US" w:eastAsia="zh-CN"/>
              </w:rPr>
              <w:t>4</w:t>
            </w:r>
            <w:r>
              <w:rPr>
                <w:rFonts w:hint="eastAsia" w:ascii="仿宋_GB2312" w:hAnsi="仿宋_GB2312" w:eastAsia="仿宋_GB2312" w:cs="Times New Roman"/>
                <w:sz w:val="21"/>
                <w:szCs w:val="21"/>
              </w:rPr>
              <w:t>年以来公布的每个</w:t>
            </w:r>
            <w:r>
              <w:rPr>
                <w:rFonts w:hint="eastAsia" w:ascii="仿宋_GB2312" w:hAnsi="仿宋_GB2312" w:eastAsia="仿宋_GB2312" w:cs="Times New Roman"/>
                <w:sz w:val="21"/>
                <w:szCs w:val="21"/>
                <w:lang w:val="en-US" w:eastAsia="zh-CN"/>
              </w:rPr>
              <w:t>年度</w:t>
            </w:r>
            <w:r>
              <w:rPr>
                <w:rFonts w:hint="eastAsia" w:ascii="仿宋_GB2312" w:hAnsi="仿宋_GB2312" w:eastAsia="仿宋_GB2312" w:cs="Times New Roman"/>
                <w:sz w:val="21"/>
                <w:szCs w:val="21"/>
              </w:rPr>
              <w:t>的省属</w:t>
            </w:r>
            <w:r>
              <w:rPr>
                <w:rFonts w:hint="eastAsia" w:ascii="仿宋_GB2312" w:hAnsi="仿宋_GB2312" w:eastAsia="仿宋_GB2312" w:cs="Times New Roman"/>
                <w:sz w:val="21"/>
                <w:szCs w:val="21"/>
                <w:lang w:eastAsia="zh-CN"/>
              </w:rPr>
              <w:t>（</w:t>
            </w:r>
            <w:r>
              <w:rPr>
                <w:rFonts w:hint="eastAsia" w:ascii="仿宋_GB2312" w:hAnsi="仿宋_GB2312" w:eastAsia="仿宋_GB2312" w:cs="Times New Roman"/>
                <w:sz w:val="21"/>
                <w:szCs w:val="21"/>
                <w:lang w:val="en-US" w:eastAsia="zh-CN"/>
              </w:rPr>
              <w:t>或市属）</w:t>
            </w:r>
            <w:r>
              <w:rPr>
                <w:rFonts w:hint="eastAsia" w:ascii="仿宋_GB2312" w:hAnsi="仿宋_GB2312" w:eastAsia="仿宋_GB2312" w:cs="Times New Roman"/>
                <w:sz w:val="21"/>
                <w:szCs w:val="21"/>
              </w:rPr>
              <w:t>财险公司</w:t>
            </w:r>
            <w:r>
              <w:rPr>
                <w:rFonts w:hint="eastAsia" w:ascii="仿宋_GB2312" w:hAnsi="仿宋_GB2312" w:eastAsia="仿宋_GB2312" w:cs="Times New Roman"/>
                <w:sz w:val="21"/>
                <w:szCs w:val="21"/>
                <w:lang w:val="en-US" w:eastAsia="zh-CN"/>
              </w:rPr>
              <w:t>亿元保费投诉量</w:t>
            </w:r>
            <w:r>
              <w:rPr>
                <w:rFonts w:hint="eastAsia" w:ascii="仿宋_GB2312" w:hAnsi="仿宋_GB2312" w:eastAsia="仿宋_GB2312" w:cs="Times New Roman"/>
                <w:sz w:val="21"/>
                <w:szCs w:val="21"/>
              </w:rPr>
              <w:t>，荣誉奖项，诉讼等情况</w:t>
            </w:r>
            <w:r>
              <w:rPr>
                <w:rFonts w:hint="eastAsia" w:ascii="仿宋_GB2312" w:hAnsi="仿宋_GB2312" w:eastAsia="仿宋_GB2312" w:cs="Times New Roman"/>
                <w:sz w:val="21"/>
                <w:szCs w:val="21"/>
                <w:lang w:val="en-US" w:eastAsia="zh-CN"/>
              </w:rPr>
              <w:t>打分。</w:t>
            </w:r>
          </w:p>
          <w:p w14:paraId="4985A67D">
            <w:pPr>
              <w:snapToGrid w:val="0"/>
              <w:spacing w:line="288" w:lineRule="auto"/>
              <w:ind w:firstLine="420" w:firstLineChars="200"/>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优秀5-4分，良好3-2分，一般1-0分。</w:t>
            </w:r>
          </w:p>
        </w:tc>
        <w:tc>
          <w:tcPr>
            <w:tcW w:w="1122" w:type="dxa"/>
            <w:noWrap w:val="0"/>
            <w:vAlign w:val="center"/>
          </w:tcPr>
          <w:p w14:paraId="12255BE6">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经营信誉</w:t>
            </w:r>
          </w:p>
        </w:tc>
      </w:tr>
      <w:tr w14:paraId="26F8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restart"/>
            <w:noWrap w:val="0"/>
            <w:vAlign w:val="center"/>
          </w:tcPr>
          <w:p w14:paraId="46FAADF3">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保险方案实施</w:t>
            </w:r>
          </w:p>
          <w:p w14:paraId="2AC46685">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25分</w:t>
            </w:r>
          </w:p>
          <w:p w14:paraId="19581D75">
            <w:pPr>
              <w:snapToGrid w:val="0"/>
              <w:spacing w:line="288" w:lineRule="auto"/>
              <w:ind w:firstLine="420" w:firstLineChars="200"/>
              <w:jc w:val="center"/>
              <w:rPr>
                <w:rFonts w:hint="default" w:ascii="仿宋_GB2312" w:hAnsi="仿宋_GB2312" w:eastAsia="仿宋_GB2312" w:cs="Times New Roman"/>
                <w:sz w:val="21"/>
                <w:szCs w:val="21"/>
                <w:lang w:val="en-US" w:eastAsia="zh-CN"/>
              </w:rPr>
            </w:pPr>
          </w:p>
        </w:tc>
        <w:tc>
          <w:tcPr>
            <w:tcW w:w="1200" w:type="dxa"/>
            <w:noWrap w:val="0"/>
            <w:vAlign w:val="center"/>
          </w:tcPr>
          <w:p w14:paraId="603CA319">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保险方案</w:t>
            </w:r>
          </w:p>
        </w:tc>
        <w:tc>
          <w:tcPr>
            <w:tcW w:w="840" w:type="dxa"/>
            <w:noWrap w:val="0"/>
            <w:vAlign w:val="center"/>
          </w:tcPr>
          <w:p w14:paraId="2104D524">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15</w:t>
            </w:r>
          </w:p>
        </w:tc>
        <w:tc>
          <w:tcPr>
            <w:tcW w:w="4620" w:type="dxa"/>
            <w:noWrap w:val="0"/>
            <w:vAlign w:val="top"/>
          </w:tcPr>
          <w:p w14:paraId="79DB9974">
            <w:pPr>
              <w:snapToGrid w:val="0"/>
              <w:spacing w:line="288" w:lineRule="auto"/>
              <w:ind w:firstLine="420" w:firstLineChars="200"/>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根据投标人拟定的本项目保险方案的适应性、保险范围、免责条款、赔付处理方式等进行打分。</w:t>
            </w:r>
          </w:p>
          <w:p w14:paraId="71CD734E">
            <w:pPr>
              <w:snapToGrid w:val="0"/>
              <w:spacing w:line="288" w:lineRule="auto"/>
              <w:ind w:firstLine="420" w:firstLineChars="200"/>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如果保险方案仅满足了招标文件的指标，得分范围10-5分。</w:t>
            </w:r>
          </w:p>
          <w:p w14:paraId="32D4375B">
            <w:pPr>
              <w:snapToGrid w:val="0"/>
              <w:spacing w:line="288" w:lineRule="auto"/>
              <w:ind w:firstLine="420" w:firstLineChars="200"/>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如果保险方案，优于招标文件的指标，或提供增值服务，根据实效评分，得分范围15-10分。</w:t>
            </w:r>
          </w:p>
        </w:tc>
        <w:tc>
          <w:tcPr>
            <w:tcW w:w="1122" w:type="dxa"/>
            <w:noWrap w:val="0"/>
            <w:vAlign w:val="center"/>
          </w:tcPr>
          <w:p w14:paraId="53B89BD9">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保险方案</w:t>
            </w:r>
          </w:p>
        </w:tc>
      </w:tr>
      <w:tr w14:paraId="7C5E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Merge w:val="continue"/>
            <w:noWrap w:val="0"/>
            <w:vAlign w:val="center"/>
          </w:tcPr>
          <w:p w14:paraId="6C4D90FE">
            <w:pPr>
              <w:snapToGrid w:val="0"/>
              <w:spacing w:line="288" w:lineRule="auto"/>
              <w:ind w:firstLine="420" w:firstLineChars="200"/>
              <w:jc w:val="center"/>
              <w:rPr>
                <w:rFonts w:hint="default" w:ascii="仿宋_GB2312" w:hAnsi="仿宋_GB2312" w:eastAsia="仿宋_GB2312" w:cs="Times New Roman"/>
                <w:sz w:val="21"/>
                <w:szCs w:val="21"/>
                <w:lang w:val="en-US" w:eastAsia="zh-CN"/>
              </w:rPr>
            </w:pPr>
          </w:p>
        </w:tc>
        <w:tc>
          <w:tcPr>
            <w:tcW w:w="1200" w:type="dxa"/>
            <w:noWrap w:val="0"/>
            <w:vAlign w:val="center"/>
          </w:tcPr>
          <w:p w14:paraId="17C3B1C9">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理赔服务</w:t>
            </w:r>
          </w:p>
        </w:tc>
        <w:tc>
          <w:tcPr>
            <w:tcW w:w="840" w:type="dxa"/>
            <w:noWrap w:val="0"/>
            <w:vAlign w:val="center"/>
          </w:tcPr>
          <w:p w14:paraId="6F4C46E1">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10</w:t>
            </w:r>
          </w:p>
        </w:tc>
        <w:tc>
          <w:tcPr>
            <w:tcW w:w="4620" w:type="dxa"/>
            <w:noWrap w:val="0"/>
            <w:vAlign w:val="top"/>
          </w:tcPr>
          <w:p w14:paraId="5F9FFF6F">
            <w:pPr>
              <w:snapToGrid w:val="0"/>
              <w:spacing w:line="288" w:lineRule="auto"/>
              <w:ind w:firstLine="420" w:firstLineChars="200"/>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根据投标人制定的理赔服务、理赔时效、考察理赔服务的保障方案及重点、难点分析，是否具备完整的流程，是否在理赔过程中能及时高效，理赔手续简化便捷性等情况进行打分。</w:t>
            </w:r>
          </w:p>
          <w:p w14:paraId="76FA90B5">
            <w:pPr>
              <w:snapToGrid w:val="0"/>
              <w:spacing w:line="288" w:lineRule="auto"/>
              <w:ind w:firstLine="420" w:firstLineChars="200"/>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rPr>
              <w:t xml:space="preserve">优良 </w:t>
            </w:r>
            <w:r>
              <w:rPr>
                <w:rFonts w:hint="eastAsia" w:ascii="仿宋_GB2312" w:hAnsi="仿宋_GB2312" w:eastAsia="仿宋_GB2312" w:cs="Times New Roman"/>
                <w:sz w:val="21"/>
                <w:szCs w:val="21"/>
                <w:lang w:val="en-US" w:eastAsia="zh-CN"/>
              </w:rPr>
              <w:t>10</w:t>
            </w:r>
            <w:r>
              <w:rPr>
                <w:rFonts w:hint="eastAsia" w:ascii="仿宋_GB2312" w:hAnsi="仿宋_GB2312" w:eastAsia="仿宋_GB2312" w:cs="Times New Roman"/>
                <w:sz w:val="21"/>
                <w:szCs w:val="21"/>
              </w:rPr>
              <w:t>-</w:t>
            </w:r>
            <w:r>
              <w:rPr>
                <w:rFonts w:hint="eastAsia" w:ascii="仿宋_GB2312" w:hAnsi="仿宋_GB2312" w:eastAsia="仿宋_GB2312" w:cs="Times New Roman"/>
                <w:sz w:val="21"/>
                <w:szCs w:val="21"/>
                <w:lang w:val="en-US" w:eastAsia="zh-CN"/>
              </w:rPr>
              <w:t>8</w:t>
            </w:r>
            <w:r>
              <w:rPr>
                <w:rFonts w:hint="eastAsia" w:ascii="仿宋_GB2312" w:hAnsi="仿宋_GB2312" w:eastAsia="仿宋_GB2312" w:cs="Times New Roman"/>
                <w:sz w:val="21"/>
                <w:szCs w:val="21"/>
              </w:rPr>
              <w:t xml:space="preserve"> 分，较好 </w:t>
            </w:r>
            <w:r>
              <w:rPr>
                <w:rFonts w:hint="eastAsia" w:ascii="仿宋_GB2312" w:hAnsi="仿宋_GB2312" w:eastAsia="仿宋_GB2312" w:cs="Times New Roman"/>
                <w:sz w:val="21"/>
                <w:szCs w:val="21"/>
                <w:lang w:val="en-US" w:eastAsia="zh-CN"/>
              </w:rPr>
              <w:t>6</w:t>
            </w:r>
            <w:r>
              <w:rPr>
                <w:rFonts w:hint="eastAsia" w:ascii="仿宋_GB2312" w:hAnsi="仿宋_GB2312" w:eastAsia="仿宋_GB2312" w:cs="Times New Roman"/>
                <w:sz w:val="21"/>
                <w:szCs w:val="21"/>
              </w:rPr>
              <w:t>-</w:t>
            </w:r>
            <w:r>
              <w:rPr>
                <w:rFonts w:hint="eastAsia" w:ascii="仿宋_GB2312" w:hAnsi="仿宋_GB2312" w:eastAsia="仿宋_GB2312" w:cs="Times New Roman"/>
                <w:sz w:val="21"/>
                <w:szCs w:val="21"/>
                <w:lang w:val="en-US" w:eastAsia="zh-CN"/>
              </w:rPr>
              <w:t>4</w:t>
            </w:r>
            <w:r>
              <w:rPr>
                <w:rFonts w:hint="eastAsia" w:ascii="仿宋_GB2312" w:hAnsi="仿宋_GB2312" w:eastAsia="仿宋_GB2312" w:cs="Times New Roman"/>
                <w:sz w:val="21"/>
                <w:szCs w:val="21"/>
              </w:rPr>
              <w:t xml:space="preserve">分，一般 </w:t>
            </w:r>
            <w:r>
              <w:rPr>
                <w:rFonts w:hint="eastAsia" w:ascii="仿宋_GB2312" w:hAnsi="仿宋_GB2312" w:eastAsia="仿宋_GB2312" w:cs="Times New Roman"/>
                <w:sz w:val="21"/>
                <w:szCs w:val="21"/>
                <w:lang w:val="en-US" w:eastAsia="zh-CN"/>
              </w:rPr>
              <w:t>3-0</w:t>
            </w:r>
            <w:r>
              <w:rPr>
                <w:rFonts w:hint="eastAsia" w:ascii="仿宋_GB2312" w:hAnsi="仿宋_GB2312" w:eastAsia="仿宋_GB2312" w:cs="Times New Roman"/>
                <w:sz w:val="21"/>
                <w:szCs w:val="21"/>
              </w:rPr>
              <w:t xml:space="preserve"> 分。</w:t>
            </w:r>
          </w:p>
        </w:tc>
        <w:tc>
          <w:tcPr>
            <w:tcW w:w="1122" w:type="dxa"/>
            <w:noWrap w:val="0"/>
            <w:vAlign w:val="center"/>
          </w:tcPr>
          <w:p w14:paraId="204C27B5">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理赔服务</w:t>
            </w:r>
          </w:p>
        </w:tc>
      </w:tr>
      <w:tr w14:paraId="4381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noWrap w:val="0"/>
            <w:vAlign w:val="center"/>
          </w:tcPr>
          <w:p w14:paraId="2B0D7426">
            <w:pPr>
              <w:snapToGrid w:val="0"/>
              <w:spacing w:line="288" w:lineRule="auto"/>
              <w:jc w:val="center"/>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服务管理</w:t>
            </w:r>
          </w:p>
          <w:p w14:paraId="3687B268">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5分</w:t>
            </w:r>
          </w:p>
        </w:tc>
        <w:tc>
          <w:tcPr>
            <w:tcW w:w="1200" w:type="dxa"/>
            <w:noWrap w:val="0"/>
            <w:vAlign w:val="center"/>
          </w:tcPr>
          <w:p w14:paraId="2DC930A1">
            <w:pPr>
              <w:snapToGrid w:val="0"/>
              <w:spacing w:line="288" w:lineRule="auto"/>
              <w:ind w:firstLine="420" w:firstLineChars="200"/>
              <w:jc w:val="center"/>
              <w:rPr>
                <w:rFonts w:hint="eastAsia" w:ascii="仿宋_GB2312" w:hAnsi="仿宋_GB2312" w:eastAsia="仿宋_GB2312" w:cs="Times New Roman"/>
                <w:sz w:val="21"/>
                <w:szCs w:val="21"/>
                <w:lang w:val="en-US" w:eastAsia="zh-CN"/>
              </w:rPr>
            </w:pPr>
          </w:p>
        </w:tc>
        <w:tc>
          <w:tcPr>
            <w:tcW w:w="840" w:type="dxa"/>
            <w:noWrap w:val="0"/>
            <w:vAlign w:val="center"/>
          </w:tcPr>
          <w:p w14:paraId="0D816AD0">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5</w:t>
            </w:r>
          </w:p>
        </w:tc>
        <w:tc>
          <w:tcPr>
            <w:tcW w:w="4620" w:type="dxa"/>
            <w:noWrap w:val="0"/>
            <w:vAlign w:val="top"/>
          </w:tcPr>
          <w:p w14:paraId="1F71AE41">
            <w:pPr>
              <w:snapToGrid w:val="0"/>
              <w:spacing w:line="288" w:lineRule="auto"/>
              <w:ind w:firstLine="420" w:firstLineChars="200"/>
              <w:rPr>
                <w:rFonts w:hint="eastAsia" w:ascii="仿宋_GB2312" w:hAnsi="仿宋_GB2312" w:eastAsia="仿宋_GB2312" w:cs="Times New Roman"/>
                <w:sz w:val="21"/>
                <w:szCs w:val="21"/>
              </w:rPr>
            </w:pPr>
            <w:r>
              <w:rPr>
                <w:rFonts w:hint="eastAsia" w:ascii="仿宋_GB2312" w:hAnsi="仿宋_GB2312" w:eastAsia="仿宋_GB2312" w:cs="Times New Roman"/>
                <w:sz w:val="21"/>
                <w:szCs w:val="21"/>
              </w:rPr>
              <w:t>根据投标人制定的服务管理制度及奖惩措施，客户满意度制度等情况进行打分。（包括但不限于组织架构、岗位职责、工作流程、员工配置、服务标准</w:t>
            </w:r>
            <w:r>
              <w:rPr>
                <w:rFonts w:hint="eastAsia" w:ascii="仿宋_GB2312" w:hAnsi="仿宋_GB2312" w:eastAsia="仿宋_GB2312" w:cs="Times New Roman"/>
                <w:sz w:val="21"/>
                <w:szCs w:val="21"/>
                <w:lang w:eastAsia="zh-CN"/>
              </w:rPr>
              <w:t>、</w:t>
            </w:r>
            <w:r>
              <w:rPr>
                <w:rFonts w:hint="eastAsia" w:ascii="仿宋_GB2312" w:hAnsi="仿宋_GB2312" w:eastAsia="仿宋_GB2312" w:cs="Times New Roman"/>
                <w:sz w:val="21"/>
                <w:szCs w:val="21"/>
                <w:lang w:val="en-US" w:eastAsia="zh-CN"/>
              </w:rPr>
              <w:t>监管措施、投诉整改等</w:t>
            </w:r>
            <w:r>
              <w:rPr>
                <w:rFonts w:hint="eastAsia" w:ascii="仿宋_GB2312" w:hAnsi="仿宋_GB2312" w:eastAsia="仿宋_GB2312" w:cs="Times New Roman"/>
                <w:sz w:val="21"/>
                <w:szCs w:val="21"/>
              </w:rPr>
              <w:t>）</w:t>
            </w:r>
          </w:p>
          <w:p w14:paraId="26D865EE">
            <w:pPr>
              <w:snapToGrid w:val="0"/>
              <w:spacing w:line="288" w:lineRule="auto"/>
              <w:ind w:firstLine="420" w:firstLineChars="200"/>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优秀</w:t>
            </w:r>
            <w:r>
              <w:rPr>
                <w:rFonts w:hint="eastAsia" w:ascii="仿宋_GB2312" w:hAnsi="仿宋_GB2312" w:eastAsia="仿宋_GB2312" w:cs="Times New Roman"/>
                <w:sz w:val="21"/>
                <w:szCs w:val="21"/>
              </w:rPr>
              <w:t xml:space="preserve"> </w:t>
            </w:r>
            <w:r>
              <w:rPr>
                <w:rFonts w:hint="eastAsia" w:ascii="仿宋_GB2312" w:hAnsi="仿宋_GB2312" w:eastAsia="仿宋_GB2312" w:cs="Times New Roman"/>
                <w:sz w:val="21"/>
                <w:szCs w:val="21"/>
                <w:lang w:val="en-US" w:eastAsia="zh-CN"/>
              </w:rPr>
              <w:t>5</w:t>
            </w:r>
            <w:r>
              <w:rPr>
                <w:rFonts w:hint="eastAsia" w:ascii="仿宋_GB2312" w:hAnsi="仿宋_GB2312" w:eastAsia="仿宋_GB2312" w:cs="Times New Roman"/>
                <w:sz w:val="21"/>
                <w:szCs w:val="21"/>
              </w:rPr>
              <w:t xml:space="preserve"> 分，</w:t>
            </w:r>
            <w:r>
              <w:rPr>
                <w:rFonts w:hint="eastAsia" w:ascii="仿宋_GB2312" w:hAnsi="仿宋_GB2312" w:eastAsia="仿宋_GB2312" w:cs="Times New Roman"/>
                <w:sz w:val="21"/>
                <w:szCs w:val="21"/>
                <w:lang w:val="en-US" w:eastAsia="zh-CN"/>
              </w:rPr>
              <w:t>良好</w:t>
            </w:r>
            <w:r>
              <w:rPr>
                <w:rFonts w:hint="eastAsia" w:ascii="仿宋_GB2312" w:hAnsi="仿宋_GB2312" w:eastAsia="仿宋_GB2312" w:cs="Times New Roman"/>
                <w:sz w:val="21"/>
                <w:szCs w:val="21"/>
              </w:rPr>
              <w:t xml:space="preserve"> </w:t>
            </w:r>
            <w:r>
              <w:rPr>
                <w:rFonts w:hint="eastAsia" w:ascii="仿宋_GB2312" w:hAnsi="仿宋_GB2312" w:eastAsia="仿宋_GB2312" w:cs="Times New Roman"/>
                <w:sz w:val="21"/>
                <w:szCs w:val="21"/>
                <w:lang w:val="en-US" w:eastAsia="zh-CN"/>
              </w:rPr>
              <w:t>3</w:t>
            </w:r>
            <w:r>
              <w:rPr>
                <w:rFonts w:hint="eastAsia" w:ascii="仿宋_GB2312" w:hAnsi="仿宋_GB2312" w:eastAsia="仿宋_GB2312" w:cs="Times New Roman"/>
                <w:sz w:val="21"/>
                <w:szCs w:val="21"/>
              </w:rPr>
              <w:t>分，一般</w:t>
            </w:r>
            <w:r>
              <w:rPr>
                <w:rFonts w:hint="eastAsia" w:ascii="仿宋_GB2312" w:hAnsi="仿宋_GB2312" w:eastAsia="仿宋_GB2312" w:cs="Times New Roman"/>
                <w:sz w:val="21"/>
                <w:szCs w:val="21"/>
                <w:lang w:val="en-US" w:eastAsia="zh-CN"/>
              </w:rPr>
              <w:t>1分</w:t>
            </w:r>
            <w:r>
              <w:rPr>
                <w:rFonts w:hint="eastAsia" w:ascii="仿宋_GB2312" w:hAnsi="仿宋_GB2312" w:eastAsia="仿宋_GB2312" w:cs="Times New Roman"/>
                <w:sz w:val="21"/>
                <w:szCs w:val="21"/>
              </w:rPr>
              <w:t>。</w:t>
            </w:r>
          </w:p>
        </w:tc>
        <w:tc>
          <w:tcPr>
            <w:tcW w:w="1122" w:type="dxa"/>
            <w:noWrap w:val="0"/>
            <w:vAlign w:val="center"/>
          </w:tcPr>
          <w:p w14:paraId="4E3F7B3D">
            <w:pPr>
              <w:snapToGrid w:val="0"/>
              <w:spacing w:line="288"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服务管理方案</w:t>
            </w:r>
          </w:p>
        </w:tc>
      </w:tr>
    </w:tbl>
    <w:p w14:paraId="04B945AC">
      <w:pPr>
        <w:snapToGrid w:val="0"/>
        <w:spacing w:line="288" w:lineRule="auto"/>
        <w:ind w:firstLine="480" w:firstLineChars="200"/>
        <w:rPr>
          <w:rFonts w:ascii="仿宋_GB2312" w:hAnsi="仿宋_GB2312" w:eastAsia="仿宋_GB2312"/>
          <w:snapToGrid w:val="0"/>
          <w:sz w:val="24"/>
        </w:rPr>
      </w:pPr>
    </w:p>
    <w:p w14:paraId="4800C77F">
      <w:pPr>
        <w:tabs>
          <w:tab w:val="left" w:pos="0"/>
          <w:tab w:val="left" w:pos="993"/>
          <w:tab w:val="left" w:pos="1134"/>
        </w:tabs>
        <w:adjustRightInd w:val="0"/>
        <w:snapToGrid w:val="0"/>
        <w:spacing w:line="288" w:lineRule="auto"/>
        <w:ind w:firstLine="482" w:firstLineChars="200"/>
        <w:rPr>
          <w:rFonts w:ascii="仿宋_GB2312" w:hAnsi="仿宋_GB2312" w:eastAsia="仿宋_GB2312"/>
          <w:b/>
          <w:snapToGrid w:val="0"/>
          <w:sz w:val="24"/>
        </w:rPr>
      </w:pPr>
      <w:r>
        <w:rPr>
          <w:rFonts w:hint="eastAsia" w:ascii="仿宋_GB2312" w:hAnsi="仿宋_GB2312" w:eastAsia="仿宋_GB2312"/>
          <w:b/>
          <w:snapToGrid w:val="0"/>
          <w:sz w:val="24"/>
        </w:rPr>
        <w:t>（五）响应无效</w:t>
      </w:r>
    </w:p>
    <w:p w14:paraId="31343CCF">
      <w:pPr>
        <w:tabs>
          <w:tab w:val="left" w:pos="0"/>
          <w:tab w:val="left" w:pos="993"/>
          <w:tab w:val="left" w:pos="1134"/>
        </w:tabs>
        <w:adjustRightInd w:val="0"/>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如出现下列情形之一的，视为对采购文件没有做出实质性响应，响应文件无效：</w:t>
      </w:r>
    </w:p>
    <w:p w14:paraId="3C0DA6EC">
      <w:pPr>
        <w:pStyle w:val="27"/>
        <w:numPr>
          <w:ilvl w:val="0"/>
          <w:numId w:val="3"/>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未按规定提交本采购文件《总则》“供应商的资格和资质要求”部分要求的资质文件；</w:t>
      </w:r>
    </w:p>
    <w:p w14:paraId="72C96E6B">
      <w:pPr>
        <w:pStyle w:val="27"/>
        <w:numPr>
          <w:ilvl w:val="0"/>
          <w:numId w:val="3"/>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未按照采购文件要求密封、签署、盖章；</w:t>
      </w:r>
    </w:p>
    <w:p w14:paraId="349DF209">
      <w:pPr>
        <w:pStyle w:val="27"/>
        <w:numPr>
          <w:ilvl w:val="0"/>
          <w:numId w:val="3"/>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响应价低于</w:t>
      </w:r>
      <w:r>
        <w:rPr>
          <w:rFonts w:hint="eastAsia" w:ascii="仿宋_GB2312" w:hAnsi="仿宋_GB2312" w:eastAsia="仿宋_GB2312"/>
          <w:snapToGrid w:val="0"/>
          <w:sz w:val="24"/>
        </w:rPr>
        <w:t>成本价或高于最高限价（预算）；</w:t>
      </w:r>
    </w:p>
    <w:p w14:paraId="2A5B2427">
      <w:pPr>
        <w:pStyle w:val="27"/>
        <w:numPr>
          <w:ilvl w:val="0"/>
          <w:numId w:val="3"/>
        </w:numPr>
        <w:snapToGrid w:val="0"/>
        <w:spacing w:line="288" w:lineRule="auto"/>
        <w:ind w:firstLineChars="0"/>
        <w:rPr>
          <w:rFonts w:ascii="仿宋_GB2312" w:hAnsi="仿宋_GB2312" w:eastAsia="仿宋_GB2312"/>
          <w:snapToGrid w:val="0"/>
          <w:sz w:val="24"/>
        </w:rPr>
      </w:pPr>
      <w:r>
        <w:rPr>
          <w:rFonts w:hint="eastAsia" w:ascii="仿宋_GB2312" w:hAnsi="仿宋_GB2312" w:eastAsia="仿宋_GB2312"/>
          <w:sz w:val="24"/>
        </w:rPr>
        <w:t>不符合或不满足国家法律法规及采购文件规定的资质条件和其他实质性条款；</w:t>
      </w:r>
    </w:p>
    <w:p w14:paraId="0586C0B1">
      <w:pPr>
        <w:pStyle w:val="27"/>
        <w:numPr>
          <w:ilvl w:val="0"/>
          <w:numId w:val="3"/>
        </w:numPr>
        <w:snapToGrid w:val="0"/>
        <w:spacing w:line="288" w:lineRule="auto"/>
        <w:ind w:firstLineChars="0"/>
        <w:rPr>
          <w:rFonts w:ascii="仿宋_GB2312" w:hAnsi="仿宋_GB2312" w:eastAsia="仿宋_GB2312"/>
          <w:snapToGrid w:val="0"/>
          <w:sz w:val="24"/>
        </w:rPr>
      </w:pPr>
      <w:r>
        <w:rPr>
          <w:rFonts w:hint="eastAsia" w:ascii="仿宋_GB2312" w:hAnsi="仿宋_GB2312" w:eastAsia="仿宋_GB2312"/>
          <w:snapToGrid w:val="0"/>
          <w:sz w:val="24"/>
        </w:rPr>
        <w:t>响应文件技术、商务应答有重大偏差（包括但不限于标★的关键指标负偏离）以及评审委员会认定的其他重大偏差；</w:t>
      </w:r>
    </w:p>
    <w:p w14:paraId="1D9AF595">
      <w:pPr>
        <w:pStyle w:val="27"/>
        <w:numPr>
          <w:ilvl w:val="0"/>
          <w:numId w:val="3"/>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同一供应商提交两个及以上不同的响应文件或者报价（采购文件要求提交备选的除外）；</w:t>
      </w:r>
    </w:p>
    <w:p w14:paraId="5CCC2035">
      <w:pPr>
        <w:pStyle w:val="27"/>
        <w:numPr>
          <w:ilvl w:val="0"/>
          <w:numId w:val="3"/>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供应商对同一产品提供两种及以上不同币种的报价（采购文件要求的除外）；</w:t>
      </w:r>
    </w:p>
    <w:p w14:paraId="1DFC6B3F">
      <w:pPr>
        <w:pStyle w:val="27"/>
        <w:numPr>
          <w:ilvl w:val="0"/>
          <w:numId w:val="3"/>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提供的产品明显不符合技术规范、技术标准的要求；</w:t>
      </w:r>
    </w:p>
    <w:p w14:paraId="77AB0921">
      <w:pPr>
        <w:snapToGrid w:val="0"/>
        <w:spacing w:line="288" w:lineRule="auto"/>
        <w:ind w:left="959" w:leftChars="228" w:hanging="480" w:hangingChars="200"/>
        <w:rPr>
          <w:rFonts w:ascii="仿宋_GB2312" w:hAnsi="仿宋_GB2312" w:eastAsia="仿宋_GB2312"/>
          <w:sz w:val="24"/>
        </w:rPr>
      </w:pPr>
      <w:r>
        <w:rPr>
          <w:rFonts w:ascii="仿宋_GB2312" w:hAnsi="仿宋_GB2312" w:eastAsia="仿宋_GB2312"/>
          <w:sz w:val="24"/>
        </w:rPr>
        <w:t>9</w:t>
      </w:r>
      <w:r>
        <w:rPr>
          <w:rFonts w:hint="eastAsia" w:ascii="仿宋_GB2312" w:hAnsi="仿宋_GB2312" w:eastAsia="仿宋_GB2312"/>
          <w:sz w:val="24"/>
        </w:rPr>
        <w:t>、经评审委员会认定，供应商存在《南京大学供应商管理办法（试行）</w:t>
      </w:r>
      <w:r>
        <w:rPr>
          <w:rFonts w:hint="eastAsia" w:ascii="仿宋_GB2312" w:hAnsi="仿宋_GB2312" w:eastAsia="仿宋_GB2312"/>
          <w:sz w:val="24"/>
          <w:lang w:eastAsia="zh-CN"/>
        </w:rPr>
        <w:t>》</w:t>
      </w:r>
      <w:r>
        <w:rPr>
          <w:rFonts w:hint="eastAsia" w:ascii="仿宋_GB2312" w:hAnsi="仿宋_GB2312" w:eastAsia="仿宋_GB2312"/>
          <w:sz w:val="24"/>
          <w:lang w:eastAsia="zh-CN"/>
        </w:rPr>
        <w:br w:type="textWrapping"/>
      </w:r>
      <w:r>
        <w:rPr>
          <w:rFonts w:hint="eastAsia" w:ascii="仿宋_GB2312" w:hAnsi="仿宋_GB2312" w:eastAsia="仿宋_GB2312"/>
          <w:sz w:val="24"/>
        </w:rPr>
        <w:t>界定的恶意串通行为；</w:t>
      </w:r>
    </w:p>
    <w:p w14:paraId="778A2E7F">
      <w:pPr>
        <w:snapToGrid w:val="0"/>
        <w:spacing w:line="288" w:lineRule="auto"/>
        <w:ind w:left="480"/>
        <w:rPr>
          <w:rFonts w:ascii="仿宋_GB2312" w:hAnsi="仿宋_GB2312" w:eastAsia="仿宋_GB2312"/>
          <w:sz w:val="24"/>
        </w:rPr>
      </w:pPr>
      <w:r>
        <w:rPr>
          <w:rFonts w:hint="eastAsia" w:ascii="仿宋_GB2312" w:hAnsi="仿宋_GB2312" w:eastAsia="仿宋_GB2312"/>
          <w:sz w:val="24"/>
        </w:rPr>
        <w:t>1</w:t>
      </w:r>
      <w:r>
        <w:rPr>
          <w:rFonts w:ascii="仿宋_GB2312" w:hAnsi="仿宋_GB2312" w:eastAsia="仿宋_GB2312"/>
          <w:sz w:val="24"/>
        </w:rPr>
        <w:t>0</w:t>
      </w:r>
      <w:r>
        <w:rPr>
          <w:rFonts w:hint="eastAsia" w:ascii="仿宋_GB2312" w:hAnsi="仿宋_GB2312" w:eastAsia="仿宋_GB2312"/>
          <w:sz w:val="24"/>
        </w:rPr>
        <w:t>、响应文件关键内容模糊、无法辨认；</w:t>
      </w:r>
    </w:p>
    <w:p w14:paraId="0B26B38E">
      <w:pPr>
        <w:snapToGrid w:val="0"/>
        <w:spacing w:line="288" w:lineRule="auto"/>
        <w:ind w:left="480"/>
        <w:rPr>
          <w:rFonts w:ascii="仿宋_GB2312" w:hAnsi="仿宋_GB2312" w:eastAsia="仿宋_GB2312"/>
          <w:snapToGrid w:val="0"/>
          <w:sz w:val="24"/>
        </w:rPr>
      </w:pPr>
      <w:r>
        <w:rPr>
          <w:rFonts w:ascii="仿宋_GB2312" w:hAnsi="仿宋_GB2312" w:eastAsia="仿宋_GB2312"/>
          <w:snapToGrid w:val="0"/>
          <w:sz w:val="24"/>
        </w:rPr>
        <w:t>11</w:t>
      </w:r>
      <w:r>
        <w:rPr>
          <w:rFonts w:hint="eastAsia" w:ascii="仿宋_GB2312" w:hAnsi="仿宋_GB2312" w:eastAsia="仿宋_GB2312"/>
          <w:snapToGrid w:val="0"/>
          <w:sz w:val="24"/>
        </w:rPr>
        <w:t>、采购人不能接受的其他条款。</w:t>
      </w:r>
    </w:p>
    <w:p w14:paraId="70979CB1">
      <w:pPr>
        <w:snapToGrid w:val="0"/>
        <w:spacing w:line="288" w:lineRule="auto"/>
        <w:ind w:firstLine="482" w:firstLineChars="200"/>
        <w:rPr>
          <w:rFonts w:hint="eastAsia" w:ascii="仿宋_GB2312" w:hAnsi="仿宋_GB2312" w:eastAsia="仿宋_GB2312"/>
          <w:b/>
          <w:sz w:val="24"/>
        </w:rPr>
      </w:pPr>
    </w:p>
    <w:p w14:paraId="601689CC">
      <w:pPr>
        <w:snapToGrid w:val="0"/>
        <w:spacing w:line="288" w:lineRule="auto"/>
        <w:ind w:firstLine="482" w:firstLineChars="200"/>
        <w:rPr>
          <w:rFonts w:ascii="仿宋_GB2312" w:hAnsi="仿宋_GB2312" w:eastAsia="仿宋_GB2312"/>
          <w:snapToGrid w:val="0"/>
          <w:sz w:val="24"/>
        </w:rPr>
      </w:pPr>
      <w:r>
        <w:rPr>
          <w:rFonts w:hint="eastAsia" w:ascii="仿宋_GB2312" w:hAnsi="仿宋_GB2312" w:eastAsia="仿宋_GB2312"/>
          <w:b/>
          <w:sz w:val="24"/>
        </w:rPr>
        <w:t>（六）确定成交供应商</w:t>
      </w:r>
    </w:p>
    <w:p w14:paraId="159E1EC6">
      <w:pPr>
        <w:widowControl/>
        <w:snapToGrid w:val="0"/>
        <w:spacing w:line="288" w:lineRule="auto"/>
        <w:ind w:firstLine="480" w:firstLineChars="200"/>
        <w:rPr>
          <w:rFonts w:ascii="仿宋_GB2312" w:hAnsi="仿宋_GB2312" w:eastAsia="仿宋_GB2312"/>
          <w:bCs/>
          <w:sz w:val="24"/>
          <w:szCs w:val="28"/>
        </w:rPr>
      </w:pPr>
      <w:r>
        <w:rPr>
          <w:rFonts w:hint="eastAsia" w:ascii="仿宋_GB2312" w:hAnsi="仿宋_GB2312" w:eastAsia="仿宋_GB2312"/>
          <w:bCs/>
          <w:sz w:val="24"/>
          <w:szCs w:val="28"/>
        </w:rPr>
        <w:t>经评审的报价最低的为成交供应商。</w:t>
      </w:r>
    </w:p>
    <w:p w14:paraId="53C2636F">
      <w:pPr>
        <w:widowControl/>
        <w:snapToGrid w:val="0"/>
        <w:spacing w:line="288" w:lineRule="auto"/>
        <w:ind w:firstLine="480" w:firstLineChars="200"/>
        <w:rPr>
          <w:rFonts w:ascii="仿宋_GB2312" w:hAnsi="仿宋_GB2312" w:eastAsia="仿宋_GB2312"/>
          <w:bCs/>
          <w:sz w:val="24"/>
          <w:szCs w:val="28"/>
        </w:rPr>
      </w:pPr>
    </w:p>
    <w:p w14:paraId="34734EED">
      <w:pPr>
        <w:pStyle w:val="6"/>
        <w:adjustRightInd w:val="0"/>
        <w:snapToGrid w:val="0"/>
        <w:spacing w:line="288" w:lineRule="auto"/>
        <w:jc w:val="center"/>
        <w:rPr>
          <w:rFonts w:hint="eastAsia" w:ascii="仿宋_GB2312" w:hAnsi="仿宋_GB2312" w:eastAsia="仿宋_GB2312"/>
          <w:b/>
          <w:sz w:val="32"/>
          <w:szCs w:val="24"/>
        </w:rPr>
      </w:pPr>
    </w:p>
    <w:p w14:paraId="67AABC2A">
      <w:pPr>
        <w:pStyle w:val="6"/>
        <w:adjustRightInd w:val="0"/>
        <w:snapToGrid w:val="0"/>
        <w:spacing w:line="288" w:lineRule="auto"/>
        <w:jc w:val="center"/>
        <w:rPr>
          <w:rFonts w:hint="eastAsia" w:ascii="仿宋_GB2312" w:hAnsi="仿宋_GB2312" w:eastAsia="仿宋_GB2312"/>
          <w:b/>
          <w:sz w:val="32"/>
          <w:szCs w:val="24"/>
        </w:rPr>
      </w:pPr>
    </w:p>
    <w:p w14:paraId="1A2D1D08">
      <w:pPr>
        <w:pStyle w:val="6"/>
        <w:adjustRightInd w:val="0"/>
        <w:snapToGrid w:val="0"/>
        <w:spacing w:line="288" w:lineRule="auto"/>
        <w:jc w:val="center"/>
        <w:rPr>
          <w:rFonts w:hint="eastAsia" w:ascii="仿宋_GB2312" w:hAnsi="仿宋_GB2312" w:eastAsia="仿宋_GB2312"/>
          <w:b/>
          <w:sz w:val="32"/>
          <w:szCs w:val="24"/>
        </w:rPr>
      </w:pPr>
    </w:p>
    <w:p w14:paraId="34BE20AF">
      <w:pPr>
        <w:pStyle w:val="6"/>
        <w:adjustRightInd w:val="0"/>
        <w:snapToGrid w:val="0"/>
        <w:spacing w:line="288" w:lineRule="auto"/>
        <w:jc w:val="center"/>
        <w:rPr>
          <w:rFonts w:hint="eastAsia" w:ascii="仿宋_GB2312" w:hAnsi="仿宋_GB2312" w:eastAsia="仿宋_GB2312"/>
          <w:b/>
          <w:sz w:val="32"/>
          <w:szCs w:val="24"/>
        </w:rPr>
      </w:pPr>
    </w:p>
    <w:p w14:paraId="1C13FAAC">
      <w:pPr>
        <w:pStyle w:val="6"/>
        <w:adjustRightInd w:val="0"/>
        <w:snapToGrid w:val="0"/>
        <w:spacing w:line="288" w:lineRule="auto"/>
        <w:jc w:val="center"/>
        <w:rPr>
          <w:rFonts w:hint="eastAsia" w:ascii="仿宋_GB2312" w:hAnsi="仿宋_GB2312" w:eastAsia="仿宋_GB2312"/>
          <w:b/>
          <w:sz w:val="32"/>
          <w:szCs w:val="24"/>
        </w:rPr>
      </w:pPr>
    </w:p>
    <w:p w14:paraId="3E06C251">
      <w:pPr>
        <w:pStyle w:val="6"/>
        <w:adjustRightInd w:val="0"/>
        <w:snapToGrid w:val="0"/>
        <w:spacing w:line="288" w:lineRule="auto"/>
        <w:jc w:val="center"/>
        <w:rPr>
          <w:rFonts w:hint="eastAsia" w:ascii="仿宋_GB2312" w:hAnsi="仿宋_GB2312" w:eastAsia="仿宋_GB2312"/>
          <w:b/>
          <w:sz w:val="32"/>
          <w:szCs w:val="24"/>
        </w:rPr>
      </w:pPr>
    </w:p>
    <w:p w14:paraId="403630CB">
      <w:pPr>
        <w:pStyle w:val="6"/>
        <w:adjustRightInd w:val="0"/>
        <w:snapToGrid w:val="0"/>
        <w:spacing w:line="288" w:lineRule="auto"/>
        <w:jc w:val="center"/>
        <w:rPr>
          <w:rFonts w:hint="eastAsia" w:ascii="仿宋_GB2312" w:hAnsi="仿宋_GB2312" w:eastAsia="仿宋_GB2312"/>
          <w:b/>
          <w:sz w:val="32"/>
          <w:szCs w:val="24"/>
        </w:rPr>
      </w:pPr>
    </w:p>
    <w:p w14:paraId="3F765F42">
      <w:pPr>
        <w:pStyle w:val="6"/>
        <w:adjustRightInd w:val="0"/>
        <w:snapToGrid w:val="0"/>
        <w:spacing w:line="288" w:lineRule="auto"/>
        <w:jc w:val="center"/>
        <w:rPr>
          <w:rFonts w:hint="eastAsia" w:ascii="仿宋_GB2312" w:hAnsi="仿宋_GB2312" w:eastAsia="仿宋_GB2312"/>
          <w:b/>
          <w:sz w:val="32"/>
          <w:szCs w:val="24"/>
        </w:rPr>
      </w:pPr>
    </w:p>
    <w:p w14:paraId="542F61DF">
      <w:pPr>
        <w:pStyle w:val="6"/>
        <w:adjustRightInd w:val="0"/>
        <w:snapToGrid w:val="0"/>
        <w:spacing w:line="288" w:lineRule="auto"/>
        <w:jc w:val="center"/>
        <w:rPr>
          <w:rFonts w:hint="eastAsia" w:ascii="仿宋_GB2312" w:hAnsi="仿宋_GB2312" w:eastAsia="仿宋_GB2312"/>
          <w:b/>
          <w:sz w:val="32"/>
          <w:szCs w:val="24"/>
        </w:rPr>
      </w:pPr>
    </w:p>
    <w:p w14:paraId="0AAC9508">
      <w:pPr>
        <w:pStyle w:val="6"/>
        <w:adjustRightInd w:val="0"/>
        <w:snapToGrid w:val="0"/>
        <w:spacing w:line="288" w:lineRule="auto"/>
        <w:jc w:val="center"/>
        <w:rPr>
          <w:rFonts w:hint="eastAsia" w:ascii="仿宋_GB2312" w:hAnsi="仿宋_GB2312" w:eastAsia="仿宋_GB2312"/>
          <w:b/>
          <w:sz w:val="32"/>
          <w:szCs w:val="24"/>
        </w:rPr>
      </w:pPr>
    </w:p>
    <w:p w14:paraId="2C6FF702">
      <w:pPr>
        <w:pStyle w:val="6"/>
        <w:adjustRightInd w:val="0"/>
        <w:snapToGrid w:val="0"/>
        <w:spacing w:line="288" w:lineRule="auto"/>
        <w:jc w:val="center"/>
        <w:rPr>
          <w:rFonts w:hint="eastAsia" w:ascii="仿宋_GB2312" w:hAnsi="仿宋_GB2312" w:eastAsia="仿宋_GB2312"/>
          <w:b/>
          <w:sz w:val="32"/>
          <w:szCs w:val="24"/>
        </w:rPr>
      </w:pPr>
    </w:p>
    <w:p w14:paraId="6931BFE0">
      <w:pPr>
        <w:pStyle w:val="6"/>
        <w:adjustRightInd w:val="0"/>
        <w:snapToGrid w:val="0"/>
        <w:spacing w:line="288" w:lineRule="auto"/>
        <w:jc w:val="center"/>
        <w:rPr>
          <w:rFonts w:hint="eastAsia" w:ascii="仿宋_GB2312" w:hAnsi="仿宋_GB2312" w:eastAsia="仿宋_GB2312"/>
          <w:b/>
          <w:sz w:val="32"/>
          <w:szCs w:val="24"/>
        </w:rPr>
      </w:pPr>
    </w:p>
    <w:p w14:paraId="76832EBF">
      <w:pPr>
        <w:pStyle w:val="6"/>
        <w:adjustRightInd w:val="0"/>
        <w:snapToGrid w:val="0"/>
        <w:spacing w:line="288" w:lineRule="auto"/>
        <w:jc w:val="center"/>
        <w:rPr>
          <w:rFonts w:hint="eastAsia" w:ascii="仿宋_GB2312" w:hAnsi="仿宋_GB2312" w:eastAsia="仿宋_GB2312"/>
          <w:b/>
          <w:sz w:val="32"/>
          <w:szCs w:val="24"/>
        </w:rPr>
      </w:pPr>
    </w:p>
    <w:p w14:paraId="2B35C9C3">
      <w:pPr>
        <w:pStyle w:val="6"/>
        <w:adjustRightInd w:val="0"/>
        <w:snapToGrid w:val="0"/>
        <w:spacing w:line="288" w:lineRule="auto"/>
        <w:jc w:val="center"/>
        <w:rPr>
          <w:rFonts w:hint="eastAsia" w:ascii="仿宋_GB2312" w:hAnsi="仿宋_GB2312" w:eastAsia="仿宋_GB2312"/>
          <w:b/>
          <w:sz w:val="32"/>
          <w:szCs w:val="24"/>
        </w:rPr>
      </w:pPr>
    </w:p>
    <w:p w14:paraId="21FDA7AA">
      <w:pPr>
        <w:pStyle w:val="6"/>
        <w:adjustRightInd w:val="0"/>
        <w:snapToGrid w:val="0"/>
        <w:spacing w:line="288" w:lineRule="auto"/>
        <w:jc w:val="center"/>
        <w:rPr>
          <w:rFonts w:hint="eastAsia" w:ascii="仿宋_GB2312" w:hAnsi="仿宋_GB2312" w:eastAsia="仿宋_GB2312"/>
          <w:b/>
          <w:sz w:val="32"/>
          <w:szCs w:val="24"/>
        </w:rPr>
      </w:pPr>
    </w:p>
    <w:p w14:paraId="6BD1E53D">
      <w:pPr>
        <w:pStyle w:val="6"/>
        <w:adjustRightInd w:val="0"/>
        <w:snapToGrid w:val="0"/>
        <w:spacing w:line="288" w:lineRule="auto"/>
        <w:jc w:val="center"/>
        <w:rPr>
          <w:rFonts w:hint="eastAsia" w:ascii="仿宋_GB2312" w:hAnsi="仿宋_GB2312" w:eastAsia="仿宋_GB2312"/>
          <w:b/>
          <w:sz w:val="32"/>
          <w:szCs w:val="24"/>
        </w:rPr>
      </w:pPr>
    </w:p>
    <w:p w14:paraId="22762664">
      <w:pPr>
        <w:pStyle w:val="6"/>
        <w:adjustRightInd w:val="0"/>
        <w:snapToGrid w:val="0"/>
        <w:spacing w:line="288" w:lineRule="auto"/>
        <w:jc w:val="center"/>
        <w:rPr>
          <w:rFonts w:hint="eastAsia" w:ascii="仿宋_GB2312" w:hAnsi="仿宋_GB2312" w:eastAsia="仿宋_GB2312"/>
          <w:b/>
          <w:sz w:val="32"/>
          <w:szCs w:val="24"/>
        </w:rPr>
      </w:pPr>
    </w:p>
    <w:p w14:paraId="09F8B51F">
      <w:pPr>
        <w:pStyle w:val="6"/>
        <w:adjustRightInd w:val="0"/>
        <w:snapToGrid w:val="0"/>
        <w:spacing w:line="288" w:lineRule="auto"/>
        <w:jc w:val="center"/>
        <w:rPr>
          <w:rFonts w:hint="eastAsia" w:ascii="仿宋_GB2312" w:hAnsi="仿宋_GB2312" w:eastAsia="仿宋_GB2312"/>
          <w:b/>
          <w:sz w:val="32"/>
          <w:szCs w:val="24"/>
        </w:rPr>
      </w:pPr>
    </w:p>
    <w:p w14:paraId="3D165B44">
      <w:pPr>
        <w:pStyle w:val="6"/>
        <w:adjustRightInd w:val="0"/>
        <w:snapToGrid w:val="0"/>
        <w:spacing w:line="288" w:lineRule="auto"/>
        <w:jc w:val="center"/>
        <w:rPr>
          <w:rFonts w:hint="eastAsia" w:ascii="仿宋_GB2312" w:hAnsi="仿宋_GB2312" w:eastAsia="仿宋_GB2312"/>
          <w:b/>
          <w:sz w:val="32"/>
          <w:szCs w:val="24"/>
        </w:rPr>
      </w:pPr>
    </w:p>
    <w:p w14:paraId="030A5B33">
      <w:pPr>
        <w:pStyle w:val="6"/>
        <w:adjustRightInd w:val="0"/>
        <w:snapToGrid w:val="0"/>
        <w:spacing w:line="288" w:lineRule="auto"/>
        <w:jc w:val="center"/>
        <w:rPr>
          <w:rFonts w:hint="eastAsia" w:ascii="仿宋_GB2312" w:hAnsi="仿宋_GB2312" w:eastAsia="仿宋_GB2312"/>
          <w:b/>
          <w:sz w:val="32"/>
          <w:szCs w:val="24"/>
        </w:rPr>
      </w:pPr>
    </w:p>
    <w:p w14:paraId="6E0F4B2C">
      <w:pPr>
        <w:pStyle w:val="6"/>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lang w:val="en-US" w:eastAsia="zh-CN"/>
        </w:rPr>
        <w:t>七</w:t>
      </w:r>
      <w:r>
        <w:rPr>
          <w:rFonts w:hint="eastAsia" w:ascii="仿宋_GB2312" w:hAnsi="仿宋_GB2312" w:eastAsia="仿宋_GB2312"/>
          <w:b/>
          <w:sz w:val="32"/>
          <w:szCs w:val="24"/>
        </w:rPr>
        <w:t>、授予合同</w:t>
      </w:r>
    </w:p>
    <w:p w14:paraId="5BC3D9FF">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（一）成交</w:t>
      </w:r>
    </w:p>
    <w:p w14:paraId="038EE960">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1、确定成交供应商后，采购人电话向成交供应商告知</w:t>
      </w:r>
      <w:r>
        <w:rPr>
          <w:rFonts w:hint="eastAsia" w:ascii="仿宋_GB2312" w:hAnsi="仿宋_GB2312" w:eastAsia="仿宋_GB2312"/>
          <w:sz w:val="24"/>
          <w:szCs w:val="28"/>
          <w:lang w:val="en-US" w:eastAsia="zh-CN"/>
        </w:rPr>
        <w:t>并发布成交公告</w:t>
      </w:r>
      <w:r>
        <w:rPr>
          <w:rFonts w:hint="eastAsia" w:ascii="仿宋_GB2312" w:hAnsi="仿宋_GB2312" w:eastAsia="仿宋_GB2312"/>
          <w:sz w:val="24"/>
          <w:szCs w:val="28"/>
        </w:rPr>
        <w:t>；</w:t>
      </w:r>
    </w:p>
    <w:p w14:paraId="1C9BC4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2、对未成交的供应商，采购人可以不解释未成交原因，响应文件一律不予退还。</w:t>
      </w:r>
    </w:p>
    <w:p w14:paraId="1EC54DFB">
      <w:pPr>
        <w:widowControl/>
        <w:snapToGrid w:val="0"/>
        <w:spacing w:line="288" w:lineRule="auto"/>
        <w:ind w:firstLine="480" w:firstLineChars="200"/>
        <w:rPr>
          <w:rFonts w:ascii="仿宋_GB2312" w:hAnsi="仿宋_GB2312" w:eastAsia="仿宋_GB2312"/>
          <w:sz w:val="24"/>
          <w:szCs w:val="28"/>
        </w:rPr>
      </w:pPr>
    </w:p>
    <w:p w14:paraId="124D518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（二）合同签订和主要条款</w:t>
      </w:r>
    </w:p>
    <w:p w14:paraId="3B3D7C7D">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1、供应商按采购人发出的成交通知书要求在规定时间内与学校签订合同；在规定时间内不与学校签订合同的，则视为自动放弃成交资格。</w:t>
      </w:r>
    </w:p>
    <w:p w14:paraId="40DD9616">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2、合同签订方式：书面签订；传真或扫描件无效。</w:t>
      </w:r>
    </w:p>
    <w:p w14:paraId="0FD39932">
      <w:pPr>
        <w:widowControl/>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3</w:t>
      </w:r>
      <w:r>
        <w:rPr>
          <w:rFonts w:hint="eastAsia" w:ascii="仿宋_GB2312" w:hAnsi="仿宋_GB2312" w:eastAsia="仿宋_GB2312"/>
          <w:sz w:val="24"/>
          <w:szCs w:val="28"/>
        </w:rPr>
        <w:t>、合同签订后，双方均必须认真履行，不论何种情况，合同项目综合单价不予调整。供货中如发现有非响应文件约定的产品，或产品质量达不到约定的要求，供应商必须无条件退换并承担因此发生的一切费用，且南京大学有权立刻终止合同并保留诉讼的权利。</w:t>
      </w:r>
    </w:p>
    <w:p w14:paraId="3CD0B3A3">
      <w:pPr>
        <w:widowControl/>
        <w:snapToGrid w:val="0"/>
        <w:spacing w:line="288" w:lineRule="auto"/>
        <w:ind w:left="376" w:firstLine="465"/>
        <w:rPr>
          <w:rFonts w:ascii="仿宋_GB2312" w:hAnsi="仿宋_GB2312" w:eastAsia="仿宋_GB2312"/>
          <w:sz w:val="24"/>
          <w:szCs w:val="28"/>
        </w:rPr>
      </w:pPr>
    </w:p>
    <w:p w14:paraId="16524F90">
      <w:pPr>
        <w:pStyle w:val="6"/>
        <w:adjustRightInd w:val="0"/>
        <w:snapToGrid w:val="0"/>
        <w:spacing w:line="288" w:lineRule="auto"/>
        <w:jc w:val="center"/>
        <w:rPr>
          <w:rFonts w:hint="eastAsia" w:ascii="仿宋_GB2312" w:hAnsi="仿宋_GB2312" w:eastAsia="仿宋_GB2312"/>
          <w:b/>
          <w:sz w:val="32"/>
          <w:szCs w:val="24"/>
        </w:rPr>
      </w:pPr>
    </w:p>
    <w:p w14:paraId="17445AF7">
      <w:pPr>
        <w:pStyle w:val="6"/>
        <w:adjustRightInd w:val="0"/>
        <w:snapToGrid w:val="0"/>
        <w:spacing w:line="288" w:lineRule="auto"/>
        <w:jc w:val="center"/>
        <w:rPr>
          <w:rFonts w:hint="eastAsia" w:ascii="仿宋_GB2312" w:hAnsi="仿宋_GB2312" w:eastAsia="仿宋_GB2312"/>
          <w:b/>
          <w:sz w:val="32"/>
          <w:szCs w:val="24"/>
        </w:rPr>
      </w:pPr>
    </w:p>
    <w:p w14:paraId="706862F2">
      <w:pPr>
        <w:pStyle w:val="6"/>
        <w:adjustRightInd w:val="0"/>
        <w:snapToGrid w:val="0"/>
        <w:spacing w:line="288" w:lineRule="auto"/>
        <w:jc w:val="center"/>
        <w:rPr>
          <w:rFonts w:hint="eastAsia" w:ascii="仿宋_GB2312" w:hAnsi="仿宋_GB2312" w:eastAsia="仿宋_GB2312"/>
          <w:b/>
          <w:sz w:val="32"/>
          <w:szCs w:val="24"/>
        </w:rPr>
      </w:pPr>
    </w:p>
    <w:p w14:paraId="458FC1B6">
      <w:pPr>
        <w:pStyle w:val="6"/>
        <w:adjustRightInd w:val="0"/>
        <w:snapToGrid w:val="0"/>
        <w:spacing w:line="288" w:lineRule="auto"/>
        <w:jc w:val="center"/>
        <w:rPr>
          <w:rFonts w:hint="eastAsia" w:ascii="仿宋_GB2312" w:hAnsi="仿宋_GB2312" w:eastAsia="仿宋_GB2312"/>
          <w:b/>
          <w:sz w:val="32"/>
          <w:szCs w:val="24"/>
        </w:rPr>
      </w:pPr>
    </w:p>
    <w:p w14:paraId="3F2DCE7D">
      <w:pPr>
        <w:pStyle w:val="6"/>
        <w:adjustRightInd w:val="0"/>
        <w:snapToGrid w:val="0"/>
        <w:spacing w:line="288" w:lineRule="auto"/>
        <w:jc w:val="center"/>
        <w:rPr>
          <w:rFonts w:hint="eastAsia" w:ascii="仿宋_GB2312" w:hAnsi="仿宋_GB2312" w:eastAsia="仿宋_GB2312"/>
          <w:b/>
          <w:sz w:val="32"/>
          <w:szCs w:val="24"/>
        </w:rPr>
      </w:pPr>
    </w:p>
    <w:p w14:paraId="1787CE1F">
      <w:pPr>
        <w:pStyle w:val="6"/>
        <w:adjustRightInd w:val="0"/>
        <w:snapToGrid w:val="0"/>
        <w:spacing w:line="288" w:lineRule="auto"/>
        <w:jc w:val="center"/>
        <w:rPr>
          <w:rFonts w:hint="eastAsia" w:ascii="仿宋_GB2312" w:hAnsi="仿宋_GB2312" w:eastAsia="仿宋_GB2312"/>
          <w:b/>
          <w:sz w:val="32"/>
          <w:szCs w:val="24"/>
        </w:rPr>
      </w:pPr>
    </w:p>
    <w:p w14:paraId="5F658BCC">
      <w:pPr>
        <w:pStyle w:val="6"/>
        <w:adjustRightInd w:val="0"/>
        <w:snapToGrid w:val="0"/>
        <w:spacing w:line="288" w:lineRule="auto"/>
        <w:jc w:val="center"/>
        <w:rPr>
          <w:rFonts w:hint="eastAsia" w:ascii="仿宋_GB2312" w:hAnsi="仿宋_GB2312" w:eastAsia="仿宋_GB2312"/>
          <w:b/>
          <w:sz w:val="32"/>
          <w:szCs w:val="24"/>
        </w:rPr>
      </w:pPr>
    </w:p>
    <w:p w14:paraId="1408D9FB">
      <w:pPr>
        <w:pStyle w:val="6"/>
        <w:adjustRightInd w:val="0"/>
        <w:snapToGrid w:val="0"/>
        <w:spacing w:line="288" w:lineRule="auto"/>
        <w:jc w:val="center"/>
        <w:rPr>
          <w:rFonts w:hint="eastAsia" w:ascii="仿宋_GB2312" w:hAnsi="仿宋_GB2312" w:eastAsia="仿宋_GB2312"/>
          <w:b/>
          <w:sz w:val="32"/>
          <w:szCs w:val="24"/>
        </w:rPr>
      </w:pPr>
    </w:p>
    <w:p w14:paraId="62003F2D">
      <w:pPr>
        <w:pStyle w:val="6"/>
        <w:adjustRightInd w:val="0"/>
        <w:snapToGrid w:val="0"/>
        <w:spacing w:line="288" w:lineRule="auto"/>
        <w:jc w:val="center"/>
        <w:rPr>
          <w:rFonts w:hint="eastAsia" w:ascii="仿宋_GB2312" w:hAnsi="仿宋_GB2312" w:eastAsia="仿宋_GB2312"/>
          <w:b/>
          <w:sz w:val="32"/>
          <w:szCs w:val="24"/>
        </w:rPr>
      </w:pPr>
    </w:p>
    <w:p w14:paraId="596BDD8F">
      <w:pPr>
        <w:pStyle w:val="6"/>
        <w:adjustRightInd w:val="0"/>
        <w:snapToGrid w:val="0"/>
        <w:spacing w:line="288" w:lineRule="auto"/>
        <w:jc w:val="center"/>
        <w:rPr>
          <w:rFonts w:hint="eastAsia" w:ascii="仿宋_GB2312" w:hAnsi="仿宋_GB2312" w:eastAsia="仿宋_GB2312"/>
          <w:b/>
          <w:sz w:val="32"/>
          <w:szCs w:val="24"/>
        </w:rPr>
      </w:pPr>
    </w:p>
    <w:p w14:paraId="414FEA4D">
      <w:pPr>
        <w:pStyle w:val="6"/>
        <w:adjustRightInd w:val="0"/>
        <w:snapToGrid w:val="0"/>
        <w:spacing w:line="288" w:lineRule="auto"/>
        <w:jc w:val="center"/>
        <w:rPr>
          <w:rFonts w:hint="eastAsia" w:ascii="仿宋_GB2312" w:hAnsi="仿宋_GB2312" w:eastAsia="仿宋_GB2312"/>
          <w:b/>
          <w:sz w:val="32"/>
          <w:szCs w:val="24"/>
        </w:rPr>
      </w:pPr>
    </w:p>
    <w:p w14:paraId="41F34617">
      <w:pPr>
        <w:pStyle w:val="6"/>
        <w:adjustRightInd w:val="0"/>
        <w:snapToGrid w:val="0"/>
        <w:spacing w:line="288" w:lineRule="auto"/>
        <w:jc w:val="center"/>
        <w:rPr>
          <w:rFonts w:hint="eastAsia" w:ascii="仿宋_GB2312" w:hAnsi="仿宋_GB2312" w:eastAsia="仿宋_GB2312"/>
          <w:b/>
          <w:sz w:val="32"/>
          <w:szCs w:val="24"/>
        </w:rPr>
      </w:pPr>
    </w:p>
    <w:p w14:paraId="212BCDC4">
      <w:pPr>
        <w:pStyle w:val="6"/>
        <w:adjustRightInd w:val="0"/>
        <w:snapToGrid w:val="0"/>
        <w:spacing w:line="288" w:lineRule="auto"/>
        <w:jc w:val="center"/>
        <w:rPr>
          <w:rFonts w:hint="eastAsia" w:ascii="仿宋_GB2312" w:hAnsi="仿宋_GB2312" w:eastAsia="仿宋_GB2312"/>
          <w:b/>
          <w:sz w:val="32"/>
          <w:szCs w:val="24"/>
        </w:rPr>
      </w:pPr>
    </w:p>
    <w:p w14:paraId="2C91E008">
      <w:pPr>
        <w:pStyle w:val="6"/>
        <w:adjustRightInd w:val="0"/>
        <w:snapToGrid w:val="0"/>
        <w:spacing w:line="288" w:lineRule="auto"/>
        <w:jc w:val="center"/>
        <w:rPr>
          <w:rFonts w:hint="eastAsia" w:ascii="仿宋_GB2312" w:hAnsi="仿宋_GB2312" w:eastAsia="仿宋_GB2312"/>
          <w:b/>
          <w:sz w:val="32"/>
          <w:szCs w:val="24"/>
        </w:rPr>
      </w:pPr>
    </w:p>
    <w:p w14:paraId="46C4B4BB">
      <w:pPr>
        <w:pStyle w:val="6"/>
        <w:adjustRightInd w:val="0"/>
        <w:snapToGrid w:val="0"/>
        <w:spacing w:line="288" w:lineRule="auto"/>
        <w:jc w:val="center"/>
        <w:rPr>
          <w:rFonts w:hint="eastAsia" w:ascii="仿宋_GB2312" w:hAnsi="仿宋_GB2312" w:eastAsia="仿宋_GB2312"/>
          <w:b/>
          <w:sz w:val="32"/>
          <w:szCs w:val="24"/>
        </w:rPr>
      </w:pPr>
    </w:p>
    <w:p w14:paraId="63DA1847">
      <w:pPr>
        <w:pStyle w:val="6"/>
        <w:adjustRightInd w:val="0"/>
        <w:snapToGrid w:val="0"/>
        <w:spacing w:line="288" w:lineRule="auto"/>
        <w:jc w:val="center"/>
        <w:rPr>
          <w:rFonts w:hint="eastAsia" w:ascii="仿宋_GB2312" w:hAnsi="仿宋_GB2312" w:eastAsia="仿宋_GB2312"/>
          <w:b/>
          <w:sz w:val="32"/>
          <w:szCs w:val="24"/>
        </w:rPr>
      </w:pPr>
    </w:p>
    <w:p w14:paraId="3D9CD654">
      <w:pPr>
        <w:pStyle w:val="6"/>
        <w:adjustRightInd w:val="0"/>
        <w:snapToGrid w:val="0"/>
        <w:spacing w:line="288" w:lineRule="auto"/>
        <w:jc w:val="center"/>
        <w:rPr>
          <w:rFonts w:hint="eastAsia" w:ascii="仿宋_GB2312" w:hAnsi="仿宋_GB2312" w:eastAsia="仿宋_GB2312"/>
          <w:b/>
          <w:sz w:val="32"/>
          <w:szCs w:val="24"/>
        </w:rPr>
      </w:pPr>
    </w:p>
    <w:p w14:paraId="2D8859F8">
      <w:pPr>
        <w:pStyle w:val="6"/>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lang w:val="en-US" w:eastAsia="zh-CN"/>
        </w:rPr>
        <w:t>八</w:t>
      </w:r>
      <w:r>
        <w:rPr>
          <w:rFonts w:hint="eastAsia" w:ascii="仿宋_GB2312" w:hAnsi="仿宋_GB2312" w:eastAsia="仿宋_GB2312"/>
          <w:b/>
          <w:sz w:val="32"/>
          <w:szCs w:val="24"/>
        </w:rPr>
        <w:t>、其他有关事宜</w:t>
      </w:r>
    </w:p>
    <w:p w14:paraId="247FA4E5">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1.采购文件中所有内容的解释权归采购人所有。</w:t>
      </w:r>
    </w:p>
    <w:p w14:paraId="4FE5BE48">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2.供应商可向南京大学后勤服务集团物业中心登记备案。</w:t>
      </w:r>
    </w:p>
    <w:p w14:paraId="3BC1A8DF">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3.如有质疑，供应商须按照《南京大学招标采购项目供应商管理办法》的要求在规定时间内提出，且针对本项目同一采购程序环节的质疑须一次性提出。</w:t>
      </w:r>
    </w:p>
    <w:p w14:paraId="0F784F40">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供应商递交的响应文件，所有内容均应真实有效；供应商所提供的产品或服务，必须满足国家相关强制性规定要求（如CCC认证、医疗器械注册证、电器电子产品有害物质限制使用标识等）；由于供应商违反国家相关强制性规定给采购人造成损失，一切责任和后果均由供应商承担。</w:t>
      </w:r>
    </w:p>
    <w:p w14:paraId="158514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5.供应商应提供书面承诺供应商提供的设备或其任何一部分，当受到第三方提出的侵犯其专利权、知识产权、商标权或工业设计权的起诉时，一切后果由供应商负责。</w:t>
      </w:r>
    </w:p>
    <w:p w14:paraId="2D79128A">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6.入校递交响应文件请提前预约：（关注“南京大学信息门户”微信公众号—门户首页左下角“i校园”—访客通行）</w:t>
      </w:r>
    </w:p>
    <w:p w14:paraId="18C91259">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备注：1）请各单位尽量减少入校人数。</w:t>
      </w:r>
    </w:p>
    <w:p w14:paraId="2372697F">
      <w:pPr>
        <w:widowControl/>
        <w:numPr>
          <w:ilvl w:val="0"/>
          <w:numId w:val="0"/>
        </w:numPr>
        <w:snapToGrid w:val="0"/>
        <w:spacing w:line="288" w:lineRule="auto"/>
        <w:rPr>
          <w:rFonts w:hint="eastAsia" w:ascii="仿宋_GB2312" w:hAnsi="仿宋_GB2312" w:eastAsia="仿宋_GB2312"/>
          <w:sz w:val="24"/>
          <w:szCs w:val="28"/>
        </w:rPr>
      </w:pPr>
      <w:r>
        <w:rPr>
          <w:rFonts w:hint="eastAsia" w:ascii="仿宋_GB2312" w:hAnsi="仿宋_GB2312" w:eastAsia="仿宋_GB2312"/>
          <w:sz w:val="24"/>
          <w:szCs w:val="28"/>
          <w:lang w:val="en-US" w:eastAsia="zh-CN"/>
        </w:rPr>
        <w:t xml:space="preserve">          2）</w:t>
      </w:r>
      <w:r>
        <w:rPr>
          <w:rFonts w:hint="eastAsia" w:ascii="仿宋_GB2312" w:hAnsi="仿宋_GB2312" w:eastAsia="仿宋_GB2312"/>
          <w:sz w:val="24"/>
          <w:szCs w:val="28"/>
        </w:rPr>
        <w:t>审核单位：</w:t>
      </w:r>
      <w:r>
        <w:rPr>
          <w:rFonts w:hint="eastAsia" w:ascii="仿宋_GB2312" w:hAnsi="仿宋_GB2312" w:eastAsia="仿宋_GB2312"/>
          <w:sz w:val="24"/>
          <w:szCs w:val="28"/>
          <w:lang w:val="en-US" w:eastAsia="zh-CN"/>
        </w:rPr>
        <w:t>后勤服务集团物业中心办公室</w:t>
      </w:r>
      <w:r>
        <w:rPr>
          <w:rFonts w:hint="eastAsia" w:ascii="仿宋_GB2312" w:hAnsi="仿宋_GB2312" w:eastAsia="仿宋_GB2312"/>
          <w:sz w:val="24"/>
          <w:szCs w:val="28"/>
        </w:rPr>
        <w:t>；审核人：</w:t>
      </w:r>
      <w:r>
        <w:rPr>
          <w:rFonts w:hint="eastAsia" w:ascii="仿宋_GB2312" w:hAnsi="仿宋_GB2312" w:eastAsia="仿宋_GB2312"/>
          <w:sz w:val="24"/>
          <w:szCs w:val="28"/>
          <w:lang w:val="en-US" w:eastAsia="zh-CN"/>
        </w:rPr>
        <w:t>房娟</w:t>
      </w:r>
      <w:r>
        <w:rPr>
          <w:rFonts w:hint="eastAsia" w:ascii="仿宋_GB2312" w:hAnsi="仿宋_GB2312" w:eastAsia="仿宋_GB2312"/>
          <w:sz w:val="24"/>
          <w:szCs w:val="28"/>
        </w:rPr>
        <w:t>。</w:t>
      </w:r>
    </w:p>
    <w:p w14:paraId="2B1F8FD5">
      <w:pPr>
        <w:widowControl/>
        <w:numPr>
          <w:ilvl w:val="0"/>
          <w:numId w:val="0"/>
        </w:numPr>
        <w:snapToGrid w:val="0"/>
        <w:spacing w:line="288" w:lineRule="auto"/>
        <w:ind w:firstLine="1200" w:firstLineChars="500"/>
        <w:rPr>
          <w:color w:val="auto"/>
        </w:rPr>
      </w:pPr>
      <w:r>
        <w:rPr>
          <w:rFonts w:hint="eastAsia" w:ascii="仿宋_GB2312" w:hAnsi="仿宋_GB2312" w:eastAsia="仿宋_GB2312"/>
          <w:sz w:val="24"/>
          <w:szCs w:val="28"/>
        </w:rPr>
        <w:t>3）到访事宜：（填写项目名称）</w:t>
      </w:r>
    </w:p>
    <w:p w14:paraId="587AF4A7">
      <w:pPr>
        <w:widowControl/>
        <w:snapToGrid w:val="0"/>
        <w:spacing w:line="288" w:lineRule="auto"/>
        <w:ind w:left="376"/>
        <w:rPr>
          <w:rFonts w:ascii="仿宋_GB2312" w:hAnsi="仿宋_GB2312" w:eastAsia="仿宋_GB2312"/>
          <w:sz w:val="24"/>
          <w:szCs w:val="28"/>
        </w:rPr>
      </w:pPr>
    </w:p>
    <w:p w14:paraId="536874E5">
      <w:pPr>
        <w:widowControl/>
        <w:snapToGrid w:val="0"/>
        <w:spacing w:line="288" w:lineRule="auto"/>
        <w:rPr>
          <w:rFonts w:hint="eastAsia"/>
          <w:color w:val="auto"/>
        </w:rPr>
      </w:pPr>
      <w:r>
        <w:rPr>
          <w:rFonts w:ascii="仿宋_GB2312" w:hAnsi="仿宋_GB2312" w:eastAsia="仿宋_GB2312"/>
          <w:sz w:val="24"/>
          <w:szCs w:val="28"/>
        </w:rPr>
        <w:br w:type="page"/>
      </w:r>
    </w:p>
    <w:p w14:paraId="024DFAF6">
      <w:pPr>
        <w:spacing w:line="360" w:lineRule="auto"/>
        <w:ind w:firstLine="480" w:firstLineChars="200"/>
        <w:jc w:val="left"/>
        <w:rPr>
          <w:rFonts w:ascii="仿宋_GB2312" w:hAnsi="仿宋_GB2312" w:eastAsia="仿宋_GB2312"/>
          <w:snapToGrid w:val="0"/>
          <w:sz w:val="24"/>
        </w:rPr>
      </w:pPr>
      <w:r>
        <w:rPr>
          <w:rFonts w:hint="eastAsia" w:ascii="仿宋_GB2312" w:hAnsi="仿宋_GB2312" w:eastAsia="仿宋_GB2312"/>
          <w:snapToGrid w:val="0"/>
          <w:sz w:val="24"/>
        </w:rPr>
        <w:t>附件：响应文件格式</w:t>
      </w:r>
    </w:p>
    <w:p w14:paraId="04A16C96">
      <w:pPr>
        <w:adjustRightInd w:val="0"/>
        <w:snapToGrid w:val="0"/>
        <w:spacing w:line="288" w:lineRule="auto"/>
        <w:ind w:firstLine="1280" w:firstLineChars="400"/>
        <w:rPr>
          <w:rFonts w:ascii="仿宋_GB2312" w:hAnsi="仿宋_GB2312" w:eastAsia="仿宋_GB2312"/>
          <w:snapToGrid w:val="0"/>
          <w:sz w:val="32"/>
        </w:rPr>
      </w:pPr>
    </w:p>
    <w:p w14:paraId="3FCF7955">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承 诺 函</w:t>
      </w:r>
    </w:p>
    <w:p w14:paraId="156E7D40">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 xml:space="preserve">：                    </w:t>
      </w:r>
    </w:p>
    <w:p w14:paraId="4AC7C077">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1、根据已收到的项目编号为</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的南京大学</w:t>
      </w:r>
      <w:r>
        <w:rPr>
          <w:rFonts w:ascii="仿宋_GB2312" w:hAnsi="仿宋_GB2312" w:eastAsia="仿宋_GB2312"/>
          <w:sz w:val="24"/>
          <w:szCs w:val="28"/>
          <w:u w:val="single"/>
        </w:rPr>
        <w:t xml:space="preserve">                 </w:t>
      </w:r>
      <w:r>
        <w:rPr>
          <w:rFonts w:hint="eastAsia" w:ascii="仿宋_GB2312" w:hAnsi="仿宋_GB2312" w:eastAsia="仿宋_GB2312"/>
          <w:sz w:val="24"/>
          <w:szCs w:val="28"/>
        </w:rPr>
        <w:t>项目的采购文件。我单位研究采购文件的各项有关内容后，我们愿以</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（总价，大写，并标明币种）提供采购文件所要求货物及伴随服务，并真实响应采购文件提出的各项规定和要求。</w:t>
      </w:r>
    </w:p>
    <w:p w14:paraId="6C2F6241">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2、如果我单位成交，我们将按照相关的法律法规和所签订的合同来履行自己的责任和义务。</w:t>
      </w:r>
    </w:p>
    <w:p w14:paraId="70D94D53">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3、除非双方另外达成协议并生效，贵单位的采购文件和成交通知书以及本响应文件将构成约束我们双方的合同。</w:t>
      </w:r>
    </w:p>
    <w:p w14:paraId="5B7850C7">
      <w:pPr>
        <w:widowControl/>
        <w:snapToGrid w:val="0"/>
        <w:spacing w:line="276" w:lineRule="auto"/>
        <w:ind w:left="374"/>
        <w:rPr>
          <w:rFonts w:ascii="仿宋_GB2312" w:hAnsi="仿宋_GB2312" w:eastAsia="仿宋_GB2312"/>
          <w:sz w:val="24"/>
          <w:szCs w:val="28"/>
        </w:rPr>
      </w:pPr>
    </w:p>
    <w:p w14:paraId="31BFC43A">
      <w:pPr>
        <w:widowControl/>
        <w:snapToGrid w:val="0"/>
        <w:spacing w:line="276" w:lineRule="auto"/>
        <w:ind w:left="374"/>
        <w:rPr>
          <w:rFonts w:ascii="仿宋_GB2312" w:hAnsi="仿宋_GB2312" w:eastAsia="仿宋_GB2312"/>
          <w:sz w:val="24"/>
          <w:szCs w:val="28"/>
        </w:rPr>
      </w:pPr>
    </w:p>
    <w:p w14:paraId="24D7A80F">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pacing w:val="60"/>
          <w:kern w:val="0"/>
          <w:sz w:val="24"/>
          <w:szCs w:val="28"/>
          <w:fitText w:val="960" w:id="-1857842944"/>
        </w:rPr>
        <w:t>供应</w:t>
      </w:r>
      <w:r>
        <w:rPr>
          <w:rFonts w:hint="eastAsia" w:ascii="仿宋_GB2312" w:hAnsi="仿宋_GB2312" w:eastAsia="仿宋_GB2312"/>
          <w:spacing w:val="0"/>
          <w:kern w:val="0"/>
          <w:sz w:val="24"/>
          <w:szCs w:val="28"/>
          <w:fitText w:val="960" w:id="-1857842944"/>
        </w:rPr>
        <w:t>商</w:t>
      </w:r>
      <w:r>
        <w:rPr>
          <w:rFonts w:hint="eastAsia" w:ascii="仿宋_GB2312" w:hAnsi="仿宋_GB2312" w:eastAsia="仿宋_GB2312"/>
          <w:sz w:val="24"/>
          <w:szCs w:val="28"/>
        </w:rPr>
        <w:t>（盖章）：</w:t>
      </w:r>
      <w:r>
        <w:rPr>
          <w:rFonts w:hint="eastAsia" w:ascii="仿宋_GB2312" w:hAnsi="仿宋_GB2312" w:eastAsia="仿宋_GB2312"/>
          <w:sz w:val="24"/>
          <w:szCs w:val="28"/>
          <w:u w:val="single"/>
        </w:rPr>
        <w:t xml:space="preserve">                                             </w:t>
      </w:r>
    </w:p>
    <w:p w14:paraId="005709C4">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单位地址：</w:t>
      </w:r>
      <w:r>
        <w:rPr>
          <w:rFonts w:hint="eastAsia" w:ascii="仿宋_GB2312" w:hAnsi="仿宋_GB2312" w:eastAsia="仿宋_GB2312"/>
          <w:sz w:val="24"/>
          <w:szCs w:val="28"/>
          <w:u w:val="single"/>
        </w:rPr>
        <w:t xml:space="preserve">                                                   </w:t>
      </w:r>
    </w:p>
    <w:p w14:paraId="261E4E2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p>
    <w:p w14:paraId="73A9704E">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联系电话：</w:t>
      </w:r>
      <w:r>
        <w:rPr>
          <w:rFonts w:hint="eastAsia" w:ascii="仿宋_GB2312" w:hAnsi="仿宋_GB2312" w:eastAsia="仿宋_GB2312"/>
          <w:sz w:val="24"/>
          <w:szCs w:val="28"/>
          <w:u w:val="single"/>
        </w:rPr>
        <w:t xml:space="preserve">                                                   </w:t>
      </w:r>
    </w:p>
    <w:p w14:paraId="464660C3">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r>
        <w:rPr>
          <w:rFonts w:ascii="仿宋_GB2312" w:hAnsi="仿宋_GB2312" w:eastAsia="仿宋_GB2312"/>
          <w:sz w:val="24"/>
          <w:szCs w:val="28"/>
        </w:rPr>
        <w:br w:type="page"/>
      </w:r>
    </w:p>
    <w:p w14:paraId="14FAFF92">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无严重违法、不良信用记录声明函</w:t>
      </w:r>
    </w:p>
    <w:p w14:paraId="7C2B38A3">
      <w:pPr>
        <w:widowControl/>
        <w:snapToGrid w:val="0"/>
        <w:spacing w:line="276" w:lineRule="auto"/>
        <w:ind w:left="374"/>
        <w:rPr>
          <w:rFonts w:ascii="仿宋_GB2312" w:hAnsi="仿宋_GB2312" w:eastAsia="仿宋_GB2312"/>
          <w:sz w:val="24"/>
          <w:szCs w:val="28"/>
        </w:rPr>
      </w:pPr>
    </w:p>
    <w:p w14:paraId="2128B2B0">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 xml:space="preserve">：                    </w:t>
      </w:r>
    </w:p>
    <w:p w14:paraId="315BCBF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我公司近三年内，在经营活动中没有重大违法记录，没有因违法经营受到刑事处罚或者责令停产停业、吊销许可证或者执照、较大数额罚款等行政处罚，也没有政府采购严重违法失信行为信息记录。</w:t>
      </w:r>
    </w:p>
    <w:p w14:paraId="29AC0418">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我公司对上述声明的真实性负责。如有虚假，将依法承担相应责任。</w:t>
      </w:r>
    </w:p>
    <w:p w14:paraId="4725C5E4">
      <w:pPr>
        <w:widowControl/>
        <w:snapToGrid w:val="0"/>
        <w:spacing w:line="276" w:lineRule="auto"/>
        <w:ind w:left="374" w:firstLine="480"/>
        <w:rPr>
          <w:rFonts w:ascii="仿宋_GB2312" w:hAnsi="仿宋_GB2312" w:eastAsia="仿宋_GB2312"/>
          <w:sz w:val="24"/>
          <w:szCs w:val="28"/>
        </w:rPr>
      </w:pPr>
    </w:p>
    <w:p w14:paraId="0F25860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附件1：“信用中国”网站（www.creditchina.gov.cn）查询记录截图：</w:t>
      </w:r>
    </w:p>
    <w:p w14:paraId="2D92CDD3">
      <w:pPr>
        <w:widowControl/>
        <w:snapToGrid w:val="0"/>
        <w:spacing w:line="276" w:lineRule="auto"/>
        <w:ind w:left="374" w:firstLine="480"/>
        <w:rPr>
          <w:rFonts w:ascii="仿宋_GB2312" w:hAnsi="仿宋_GB2312" w:eastAsia="仿宋_GB2312"/>
          <w:sz w:val="24"/>
          <w:szCs w:val="28"/>
        </w:rPr>
      </w:pPr>
    </w:p>
    <w:p w14:paraId="73EEDBFC">
      <w:pPr>
        <w:widowControl/>
        <w:snapToGrid w:val="0"/>
        <w:spacing w:line="276" w:lineRule="auto"/>
        <w:ind w:left="374" w:firstLine="480"/>
        <w:rPr>
          <w:rFonts w:ascii="仿宋_GB2312" w:hAnsi="仿宋_GB2312" w:eastAsia="仿宋_GB2312"/>
          <w:sz w:val="24"/>
          <w:szCs w:val="28"/>
        </w:rPr>
      </w:pPr>
    </w:p>
    <w:p w14:paraId="2D7A4590">
      <w:pPr>
        <w:widowControl/>
        <w:snapToGrid w:val="0"/>
        <w:spacing w:line="276" w:lineRule="auto"/>
        <w:ind w:left="374" w:firstLine="480"/>
        <w:rPr>
          <w:rFonts w:ascii="仿宋_GB2312" w:hAnsi="仿宋_GB2312" w:eastAsia="仿宋_GB2312"/>
          <w:sz w:val="24"/>
          <w:szCs w:val="28"/>
        </w:rPr>
      </w:pPr>
    </w:p>
    <w:p w14:paraId="46CB7842">
      <w:pPr>
        <w:widowControl/>
        <w:snapToGrid w:val="0"/>
        <w:spacing w:line="276" w:lineRule="auto"/>
        <w:ind w:left="374" w:firstLine="480"/>
        <w:rPr>
          <w:rFonts w:ascii="仿宋_GB2312" w:hAnsi="仿宋_GB2312" w:eastAsia="仿宋_GB2312"/>
          <w:sz w:val="24"/>
          <w:szCs w:val="28"/>
        </w:rPr>
      </w:pPr>
    </w:p>
    <w:p w14:paraId="06D158BE">
      <w:pPr>
        <w:widowControl/>
        <w:snapToGrid w:val="0"/>
        <w:spacing w:line="276" w:lineRule="auto"/>
        <w:ind w:left="374" w:firstLine="480"/>
        <w:rPr>
          <w:rFonts w:ascii="仿宋_GB2312" w:hAnsi="仿宋_GB2312" w:eastAsia="仿宋_GB2312"/>
          <w:sz w:val="24"/>
          <w:szCs w:val="28"/>
        </w:rPr>
      </w:pPr>
    </w:p>
    <w:p w14:paraId="28461F8E">
      <w:pPr>
        <w:widowControl/>
        <w:snapToGrid w:val="0"/>
        <w:spacing w:line="276" w:lineRule="auto"/>
        <w:ind w:left="374" w:firstLine="480"/>
        <w:rPr>
          <w:rFonts w:ascii="仿宋_GB2312" w:hAnsi="仿宋_GB2312" w:eastAsia="仿宋_GB2312"/>
          <w:sz w:val="24"/>
          <w:szCs w:val="28"/>
        </w:rPr>
      </w:pPr>
    </w:p>
    <w:p w14:paraId="25355CB6">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附件2：“中国政府采购网”（www.ccgp.gov.cn）查询记录截图：</w:t>
      </w:r>
    </w:p>
    <w:p w14:paraId="0B32689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27E344B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4D014D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4DBC7FAE">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37B0E8D">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32EA16FB">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9807A44">
      <w:pPr>
        <w:widowControl/>
        <w:snapToGrid w:val="0"/>
        <w:spacing w:line="276" w:lineRule="auto"/>
        <w:ind w:left="374"/>
        <w:rPr>
          <w:rFonts w:ascii="仿宋_GB2312" w:hAnsi="仿宋_GB2312" w:eastAsia="仿宋_GB2312"/>
          <w:sz w:val="24"/>
          <w:szCs w:val="28"/>
        </w:rPr>
      </w:pPr>
    </w:p>
    <w:p w14:paraId="30DF6FCD">
      <w:pPr>
        <w:widowControl/>
        <w:snapToGrid w:val="0"/>
        <w:spacing w:line="276" w:lineRule="auto"/>
        <w:ind w:left="374"/>
        <w:rPr>
          <w:rFonts w:ascii="仿宋_GB2312" w:hAnsi="仿宋_GB2312" w:eastAsia="仿宋_GB2312"/>
          <w:sz w:val="24"/>
          <w:szCs w:val="28"/>
        </w:rPr>
      </w:pPr>
    </w:p>
    <w:p w14:paraId="06D0D0EF">
      <w:pPr>
        <w:widowControl/>
        <w:snapToGrid w:val="0"/>
        <w:spacing w:line="276" w:lineRule="auto"/>
        <w:ind w:left="374"/>
        <w:rPr>
          <w:rFonts w:ascii="仿宋_GB2312" w:hAnsi="仿宋_GB2312" w:eastAsia="仿宋_GB2312"/>
          <w:sz w:val="24"/>
          <w:szCs w:val="28"/>
        </w:rPr>
      </w:pPr>
    </w:p>
    <w:p w14:paraId="13EC22E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供应商（盖章）：</w:t>
      </w:r>
      <w:r>
        <w:rPr>
          <w:rFonts w:hint="eastAsia" w:ascii="仿宋_GB2312" w:hAnsi="仿宋_GB2312" w:eastAsia="仿宋_GB2312"/>
          <w:sz w:val="24"/>
          <w:szCs w:val="28"/>
          <w:u w:val="single"/>
        </w:rPr>
        <w:t xml:space="preserve">                                             </w:t>
      </w:r>
    </w:p>
    <w:p w14:paraId="6504266D">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6B42FF02">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043DE0A6">
      <w:pPr>
        <w:widowControl/>
        <w:snapToGrid w:val="0"/>
        <w:spacing w:line="288" w:lineRule="auto"/>
        <w:ind w:left="376"/>
        <w:jc w:val="center"/>
        <w:rPr>
          <w:rFonts w:ascii="仿宋_GB2312" w:hAnsi="仿宋_GB2312" w:eastAsia="仿宋_GB2312"/>
          <w:b/>
          <w:bCs/>
          <w:sz w:val="36"/>
        </w:rPr>
      </w:pPr>
    </w:p>
    <w:p w14:paraId="54DFE997">
      <w:pPr>
        <w:widowControl/>
        <w:snapToGrid w:val="0"/>
        <w:spacing w:line="288" w:lineRule="auto"/>
        <w:ind w:left="376"/>
        <w:jc w:val="center"/>
        <w:rPr>
          <w:rFonts w:ascii="仿宋_GB2312" w:hAnsi="仿宋_GB2312" w:eastAsia="仿宋_GB2312"/>
          <w:b/>
          <w:bCs/>
          <w:sz w:val="36"/>
        </w:rPr>
      </w:pPr>
    </w:p>
    <w:p w14:paraId="2D1122EB">
      <w:pPr>
        <w:widowControl/>
        <w:snapToGrid w:val="0"/>
        <w:spacing w:line="288" w:lineRule="auto"/>
        <w:ind w:left="376"/>
        <w:jc w:val="center"/>
        <w:rPr>
          <w:rFonts w:ascii="仿宋_GB2312" w:hAnsi="仿宋_GB2312" w:eastAsia="仿宋_GB2312"/>
          <w:b/>
          <w:bCs/>
          <w:sz w:val="36"/>
        </w:rPr>
      </w:pPr>
      <w:r>
        <w:rPr>
          <w:rFonts w:ascii="仿宋_GB2312" w:hAnsi="仿宋_GB2312" w:eastAsia="仿宋_GB2312"/>
          <w:b/>
          <w:bCs/>
          <w:sz w:val="36"/>
        </w:rPr>
        <w:br w:type="page"/>
      </w:r>
      <w:r>
        <w:rPr>
          <w:rFonts w:hint="eastAsia" w:ascii="仿宋_GB2312" w:hAnsi="仿宋_GB2312" w:eastAsia="仿宋_GB2312"/>
          <w:b/>
          <w:bCs/>
          <w:sz w:val="36"/>
        </w:rPr>
        <w:t>法定代表人授权委托书</w:t>
      </w:r>
    </w:p>
    <w:p w14:paraId="05755BC7">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z w:val="24"/>
          <w:szCs w:val="28"/>
        </w:rPr>
        <w:t>项目编号：</w:t>
      </w:r>
      <w:r>
        <w:rPr>
          <w:rFonts w:hint="eastAsia" w:ascii="仿宋_GB2312" w:hAnsi="仿宋_GB2312" w:eastAsia="仿宋_GB2312"/>
          <w:sz w:val="24"/>
          <w:szCs w:val="28"/>
          <w:u w:val="single"/>
        </w:rPr>
        <w:t xml:space="preserve">                     </w:t>
      </w:r>
    </w:p>
    <w:p w14:paraId="024EA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1DCD62CC">
      <w:pPr>
        <w:widowControl/>
        <w:snapToGrid w:val="0"/>
        <w:spacing w:line="288" w:lineRule="auto"/>
        <w:ind w:left="376"/>
        <w:rPr>
          <w:rFonts w:ascii="仿宋_GB2312" w:hAnsi="仿宋_GB2312" w:eastAsia="仿宋_GB2312"/>
          <w:sz w:val="24"/>
          <w:szCs w:val="28"/>
        </w:rPr>
      </w:pPr>
    </w:p>
    <w:p w14:paraId="6B53F9E3">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w:t>
      </w:r>
    </w:p>
    <w:p w14:paraId="0FA658C7">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我</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，系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（供应商名称）的法定代表人，现授权委托</w:t>
      </w:r>
      <w:r>
        <w:rPr>
          <w:rFonts w:hint="eastAsia" w:ascii="仿宋_GB2312" w:hAnsi="仿宋_GB2312" w:eastAsia="仿宋_GB2312"/>
          <w:sz w:val="24"/>
          <w:szCs w:val="28"/>
          <w:u w:val="single"/>
        </w:rPr>
        <w:t xml:space="preserve">                  （身份证号：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w:t>
      </w:r>
      <w:r>
        <w:rPr>
          <w:rFonts w:hint="eastAsia" w:ascii="仿宋_GB2312" w:hAnsi="仿宋_GB2312" w:eastAsia="仿宋_GB2312"/>
          <w:sz w:val="24"/>
          <w:szCs w:val="28"/>
        </w:rPr>
        <w:t>为我公司代理人，参加南京大学</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采购的响应活动。</w:t>
      </w:r>
    </w:p>
    <w:p w14:paraId="7BA87F90">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代理人在响应和合同谈判过程中所签署的一切文件和处理与之有关的一切事务，我公司均予以承认。</w:t>
      </w:r>
    </w:p>
    <w:p w14:paraId="0A32BD2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在撤消授权的书面通知以前，本授权书一直有效。代理人在授权书有效期内签署的所有文件不因授权的撤消而失效。本授权书的有效期自响应开始至合同履行完毕止。</w:t>
      </w:r>
    </w:p>
    <w:p w14:paraId="578EAB1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代理人无转委权。特此委托。</w:t>
      </w:r>
    </w:p>
    <w:p w14:paraId="1745DD0F">
      <w:pPr>
        <w:widowControl/>
        <w:snapToGrid w:val="0"/>
        <w:spacing w:line="288" w:lineRule="auto"/>
        <w:ind w:left="376" w:leftChars="179" w:firstLine="480" w:firstLineChars="200"/>
        <w:rPr>
          <w:rFonts w:ascii="仿宋_GB2312" w:hAnsi="仿宋_GB2312" w:eastAsia="仿宋_GB2312"/>
          <w:sz w:val="24"/>
          <w:szCs w:val="28"/>
        </w:rPr>
      </w:pPr>
    </w:p>
    <w:p w14:paraId="6E3E442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法定代表人（签章）：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p>
    <w:p w14:paraId="65C9F68B">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pacing w:val="40"/>
          <w:kern w:val="0"/>
          <w:sz w:val="24"/>
          <w:szCs w:val="28"/>
          <w:fitText w:val="1200" w:id="-2036676096"/>
        </w:rPr>
        <w:t>授权代</w:t>
      </w:r>
      <w:r>
        <w:rPr>
          <w:rFonts w:hint="eastAsia" w:ascii="仿宋_GB2312" w:hAnsi="仿宋_GB2312" w:eastAsia="仿宋_GB2312"/>
          <w:spacing w:val="0"/>
          <w:kern w:val="0"/>
          <w:sz w:val="24"/>
          <w:szCs w:val="28"/>
          <w:fitText w:val="1200" w:id="-2036676096"/>
        </w:rPr>
        <w:t>表</w:t>
      </w:r>
      <w:r>
        <w:rPr>
          <w:rFonts w:hint="eastAsia" w:ascii="仿宋_GB2312" w:hAnsi="仿宋_GB2312" w:eastAsia="仿宋_GB2312"/>
          <w:sz w:val="24"/>
          <w:szCs w:val="28"/>
        </w:rPr>
        <w:t>（签字）：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10041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商（盖章）：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0757058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307C20C7">
      <w:pPr>
        <w:widowControl/>
        <w:snapToGrid w:val="0"/>
        <w:spacing w:line="288" w:lineRule="auto"/>
        <w:rPr>
          <w:rFonts w:ascii="仿宋_GB2312" w:hAnsi="仿宋_GB2312" w:eastAsia="仿宋_GB2312"/>
          <w:sz w:val="24"/>
          <w:szCs w:val="28"/>
        </w:rPr>
      </w:pPr>
    </w:p>
    <w:p w14:paraId="25023B20">
      <w:pPr>
        <w:widowControl/>
        <w:snapToGrid w:val="0"/>
        <w:spacing w:line="288" w:lineRule="auto"/>
        <w:rPr>
          <w:rFonts w:ascii="仿宋_GB2312" w:hAnsi="仿宋_GB2312" w:eastAsia="仿宋_GB2312"/>
          <w:sz w:val="24"/>
          <w:szCs w:val="28"/>
        </w:rPr>
      </w:pPr>
    </w:p>
    <w:p w14:paraId="61A30361">
      <w:pPr>
        <w:widowControl/>
        <w:snapToGrid w:val="0"/>
        <w:spacing w:line="288" w:lineRule="auto"/>
        <w:rPr>
          <w:rFonts w:ascii="仿宋_GB2312" w:hAnsi="仿宋_GB2312" w:eastAsia="仿宋_GB2312"/>
          <w:sz w:val="24"/>
          <w:szCs w:val="28"/>
        </w:rPr>
      </w:pPr>
    </w:p>
    <w:p w14:paraId="45C58863">
      <w:pPr>
        <w:widowControl/>
        <w:jc w:val="left"/>
        <w:rPr>
          <w:rFonts w:ascii="仿宋_GB2312" w:hAnsi="仿宋_GB2312" w:eastAsia="仿宋_GB2312"/>
          <w:sz w:val="24"/>
          <w:szCs w:val="28"/>
        </w:rPr>
      </w:pPr>
      <w:r>
        <w:rPr>
          <w:rFonts w:ascii="仿宋_GB2312" w:hAnsi="仿宋_GB2312" w:eastAsia="仿宋_GB2312"/>
          <w:sz w:val="24"/>
          <w:szCs w:val="28"/>
        </w:rPr>
        <w:br w:type="page"/>
      </w:r>
    </w:p>
    <w:p w14:paraId="14A84B8F">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报价一览表</w:t>
      </w:r>
    </w:p>
    <w:p w14:paraId="17676D17">
      <w:pPr>
        <w:spacing w:line="360" w:lineRule="auto"/>
        <w:rPr>
          <w:rFonts w:ascii="仿宋_GB2312" w:hAnsi="仿宋_GB2312" w:eastAsia="仿宋_GB2312"/>
          <w:sz w:val="24"/>
          <w:u w:val="single"/>
        </w:rPr>
      </w:pPr>
      <w:r>
        <w:rPr>
          <w:rFonts w:hint="eastAsia" w:ascii="仿宋_GB2312" w:hAnsi="仿宋_GB2312" w:eastAsia="仿宋_GB2312"/>
          <w:sz w:val="24"/>
        </w:rPr>
        <w:t>项目名称：</w:t>
      </w:r>
      <w:r>
        <w:rPr>
          <w:rFonts w:ascii="仿宋_GB2312" w:hAnsi="仿宋_GB2312" w:eastAsia="仿宋_GB2312"/>
          <w:sz w:val="24"/>
          <w:u w:val="single"/>
        </w:rPr>
        <w:t xml:space="preserve">                                     </w:t>
      </w:r>
    </w:p>
    <w:p w14:paraId="75D0D169">
      <w:pPr>
        <w:spacing w:line="360" w:lineRule="auto"/>
        <w:rPr>
          <w:rFonts w:ascii="仿宋_GB2312" w:hAnsi="仿宋_GB2312" w:eastAsia="仿宋_GB2312"/>
          <w:sz w:val="24"/>
          <w:u w:val="single"/>
        </w:rPr>
      </w:pPr>
      <w:r>
        <w:rPr>
          <w:rFonts w:hint="eastAsia" w:ascii="仿宋_GB2312" w:hAnsi="仿宋_GB2312" w:eastAsia="仿宋_GB2312"/>
          <w:sz w:val="24"/>
        </w:rPr>
        <w:t>项目编号：</w:t>
      </w:r>
      <w:r>
        <w:rPr>
          <w:rFonts w:hint="eastAsia" w:ascii="仿宋_GB2312" w:hAnsi="仿宋_GB2312" w:eastAsia="仿宋_GB2312"/>
          <w:sz w:val="24"/>
          <w:u w:val="single"/>
        </w:rPr>
        <w:t xml:space="preserve">                                     </w:t>
      </w:r>
    </w:p>
    <w:p w14:paraId="66FEA2FA">
      <w:pPr>
        <w:spacing w:line="276" w:lineRule="auto"/>
        <w:rPr>
          <w:rFonts w:ascii="仿宋_GB2312" w:hAnsi="仿宋_GB2312" w:eastAsia="仿宋_GB2312"/>
          <w:sz w:val="24"/>
          <w:u w:val="single"/>
        </w:rPr>
      </w:pPr>
    </w:p>
    <w:tbl>
      <w:tblPr>
        <w:tblStyle w:val="16"/>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290"/>
        <w:gridCol w:w="1650"/>
        <w:gridCol w:w="1305"/>
        <w:gridCol w:w="1080"/>
        <w:gridCol w:w="1365"/>
        <w:gridCol w:w="840"/>
        <w:gridCol w:w="840"/>
        <w:gridCol w:w="900"/>
      </w:tblGrid>
      <w:tr w14:paraId="41BD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9" w:type="dxa"/>
            <w:shd w:val="clear" w:color="auto" w:fill="auto"/>
            <w:vAlign w:val="center"/>
          </w:tcPr>
          <w:p w14:paraId="51BF3825">
            <w:pPr>
              <w:spacing w:line="360" w:lineRule="auto"/>
              <w:jc w:val="center"/>
              <w:rPr>
                <w:rFonts w:hint="eastAsia" w:ascii="仿宋_GB2312" w:hAnsi="仿宋_GB2312" w:eastAsia="仿宋_GB2312" w:cs="Times New Roman"/>
                <w:b/>
                <w:bCs/>
                <w:sz w:val="24"/>
                <w:lang w:val="en-US" w:eastAsia="zh-CN"/>
              </w:rPr>
            </w:pPr>
            <w:r>
              <w:rPr>
                <w:rFonts w:hint="eastAsia" w:ascii="仿宋_GB2312" w:hAnsi="仿宋_GB2312" w:eastAsia="仿宋_GB2312" w:cs="Times New Roman"/>
                <w:b/>
                <w:bCs/>
                <w:sz w:val="24"/>
                <w:lang w:val="en-US" w:eastAsia="zh-CN"/>
              </w:rPr>
              <w:t>校区</w:t>
            </w:r>
          </w:p>
        </w:tc>
        <w:tc>
          <w:tcPr>
            <w:tcW w:w="1290" w:type="dxa"/>
            <w:shd w:val="clear" w:color="auto" w:fill="auto"/>
            <w:vAlign w:val="center"/>
          </w:tcPr>
          <w:p w14:paraId="2FD9CFCA">
            <w:pPr>
              <w:spacing w:line="360" w:lineRule="auto"/>
              <w:jc w:val="center"/>
              <w:rPr>
                <w:rFonts w:hint="eastAsia" w:ascii="仿宋_GB2312" w:hAnsi="仿宋_GB2312" w:eastAsia="仿宋_GB2312" w:cs="Times New Roman"/>
                <w:b/>
                <w:bCs/>
                <w:sz w:val="24"/>
                <w:lang w:val="en-US" w:eastAsia="zh-CN"/>
              </w:rPr>
            </w:pPr>
            <w:r>
              <w:rPr>
                <w:rFonts w:hint="eastAsia" w:ascii="仿宋_GB2312" w:hAnsi="仿宋_GB2312" w:eastAsia="仿宋_GB2312" w:cs="Times New Roman"/>
                <w:b/>
                <w:bCs/>
                <w:sz w:val="24"/>
                <w:lang w:val="en-US" w:eastAsia="zh-CN"/>
              </w:rPr>
              <w:t>楼幢</w:t>
            </w:r>
          </w:p>
        </w:tc>
        <w:tc>
          <w:tcPr>
            <w:tcW w:w="1650" w:type="dxa"/>
            <w:shd w:val="clear" w:color="auto" w:fill="auto"/>
            <w:vAlign w:val="center"/>
          </w:tcPr>
          <w:p w14:paraId="520544E2">
            <w:pPr>
              <w:spacing w:line="360" w:lineRule="auto"/>
              <w:jc w:val="center"/>
              <w:rPr>
                <w:rFonts w:hint="eastAsia" w:ascii="仿宋_GB2312" w:hAnsi="仿宋_GB2312" w:eastAsia="仿宋_GB2312" w:cs="Times New Roman"/>
                <w:b/>
                <w:bCs/>
                <w:sz w:val="24"/>
                <w:lang w:val="en-US" w:eastAsia="zh-CN"/>
              </w:rPr>
            </w:pPr>
            <w:r>
              <w:rPr>
                <w:rFonts w:hint="eastAsia" w:ascii="仿宋_GB2312" w:hAnsi="仿宋_GB2312" w:eastAsia="仿宋_GB2312" w:cs="Times New Roman"/>
                <w:b/>
                <w:bCs/>
                <w:sz w:val="24"/>
                <w:lang w:val="en-US" w:eastAsia="zh-CN"/>
              </w:rPr>
              <w:t>详细区域</w:t>
            </w:r>
          </w:p>
        </w:tc>
        <w:tc>
          <w:tcPr>
            <w:tcW w:w="1305" w:type="dxa"/>
            <w:shd w:val="clear" w:color="auto" w:fill="auto"/>
            <w:vAlign w:val="center"/>
          </w:tcPr>
          <w:p w14:paraId="2F307D66">
            <w:pPr>
              <w:spacing w:line="360" w:lineRule="auto"/>
              <w:jc w:val="center"/>
              <w:rPr>
                <w:rFonts w:hint="eastAsia" w:ascii="仿宋_GB2312" w:hAnsi="仿宋_GB2312" w:eastAsia="仿宋_GB2312" w:cs="Times New Roman"/>
                <w:b/>
                <w:bCs/>
                <w:sz w:val="24"/>
                <w:lang w:val="en-US" w:eastAsia="zh-CN"/>
              </w:rPr>
            </w:pPr>
            <w:r>
              <w:rPr>
                <w:rFonts w:hint="eastAsia" w:ascii="仿宋_GB2312" w:hAnsi="仿宋_GB2312" w:eastAsia="仿宋_GB2312" w:cs="Times New Roman"/>
                <w:b/>
                <w:bCs/>
                <w:sz w:val="24"/>
                <w:lang w:val="en-US" w:eastAsia="zh-CN"/>
              </w:rPr>
              <w:t>面积（m²）</w:t>
            </w:r>
          </w:p>
        </w:tc>
        <w:tc>
          <w:tcPr>
            <w:tcW w:w="1080" w:type="dxa"/>
            <w:shd w:val="clear" w:color="auto" w:fill="auto"/>
            <w:vAlign w:val="center"/>
          </w:tcPr>
          <w:p w14:paraId="3E6F9A9F">
            <w:pPr>
              <w:spacing w:line="360" w:lineRule="auto"/>
              <w:jc w:val="center"/>
              <w:rPr>
                <w:rFonts w:hint="eastAsia" w:ascii="仿宋_GB2312" w:hAnsi="仿宋_GB2312" w:eastAsia="仿宋_GB2312" w:cs="Times New Roman"/>
                <w:b/>
                <w:bCs/>
                <w:sz w:val="24"/>
                <w:lang w:eastAsia="zh-CN"/>
              </w:rPr>
            </w:pPr>
            <w:r>
              <w:rPr>
                <w:rFonts w:hint="eastAsia" w:ascii="仿宋_GB2312" w:hAnsi="仿宋_GB2312" w:eastAsia="仿宋_GB2312" w:cs="Times New Roman"/>
                <w:b/>
                <w:bCs/>
                <w:sz w:val="24"/>
                <w:lang w:val="en-US" w:eastAsia="zh-CN"/>
              </w:rPr>
              <w:t>险种</w:t>
            </w:r>
          </w:p>
        </w:tc>
        <w:tc>
          <w:tcPr>
            <w:tcW w:w="1365" w:type="dxa"/>
            <w:shd w:val="clear" w:color="auto" w:fill="auto"/>
            <w:vAlign w:val="center"/>
          </w:tcPr>
          <w:p w14:paraId="5A8B9EB3">
            <w:pPr>
              <w:spacing w:line="360" w:lineRule="auto"/>
              <w:jc w:val="center"/>
              <w:rPr>
                <w:rFonts w:hint="eastAsia" w:ascii="仿宋_GB2312" w:hAnsi="仿宋_GB2312" w:eastAsia="仿宋_GB2312" w:cs="Times New Roman"/>
                <w:b/>
                <w:bCs/>
                <w:sz w:val="24"/>
                <w:lang w:val="en-US" w:eastAsia="zh-CN"/>
              </w:rPr>
            </w:pPr>
            <w:r>
              <w:rPr>
                <w:rFonts w:hint="eastAsia" w:ascii="仿宋_GB2312" w:hAnsi="仿宋_GB2312" w:eastAsia="仿宋_GB2312" w:cs="Times New Roman"/>
                <w:b/>
                <w:bCs/>
                <w:sz w:val="24"/>
                <w:lang w:val="en-US" w:eastAsia="zh-CN"/>
              </w:rPr>
              <w:t>保险项目</w:t>
            </w:r>
          </w:p>
        </w:tc>
        <w:tc>
          <w:tcPr>
            <w:tcW w:w="840" w:type="dxa"/>
            <w:shd w:val="clear" w:color="auto" w:fill="auto"/>
            <w:vAlign w:val="center"/>
          </w:tcPr>
          <w:p w14:paraId="0088C00A">
            <w:pPr>
              <w:spacing w:line="360" w:lineRule="auto"/>
              <w:jc w:val="center"/>
              <w:rPr>
                <w:rFonts w:hint="default" w:ascii="仿宋_GB2312" w:hAnsi="仿宋_GB2312" w:eastAsia="仿宋_GB2312" w:cs="Times New Roman"/>
                <w:b/>
                <w:bCs/>
                <w:sz w:val="24"/>
                <w:lang w:val="en-US" w:eastAsia="zh-CN"/>
              </w:rPr>
            </w:pPr>
            <w:r>
              <w:rPr>
                <w:rFonts w:hint="eastAsia" w:ascii="仿宋_GB2312" w:hAnsi="仿宋_GB2312" w:eastAsia="仿宋_GB2312" w:cs="Times New Roman"/>
                <w:b/>
                <w:bCs/>
                <w:sz w:val="24"/>
                <w:lang w:val="en-US" w:eastAsia="zh-CN"/>
              </w:rPr>
              <w:t>保险额度</w:t>
            </w:r>
          </w:p>
        </w:tc>
        <w:tc>
          <w:tcPr>
            <w:tcW w:w="840" w:type="dxa"/>
            <w:shd w:val="clear" w:color="auto" w:fill="auto"/>
            <w:vAlign w:val="center"/>
          </w:tcPr>
          <w:p w14:paraId="39542A2B">
            <w:pPr>
              <w:spacing w:line="360" w:lineRule="auto"/>
              <w:jc w:val="center"/>
              <w:rPr>
                <w:rFonts w:hint="eastAsia" w:ascii="仿宋_GB2312" w:hAnsi="仿宋_GB2312" w:eastAsia="仿宋_GB2312" w:cs="Times New Roman"/>
                <w:b/>
                <w:bCs/>
                <w:sz w:val="24"/>
                <w:lang w:val="en-US" w:eastAsia="zh-CN"/>
              </w:rPr>
            </w:pPr>
            <w:r>
              <w:rPr>
                <w:rFonts w:hint="eastAsia" w:ascii="仿宋_GB2312" w:hAnsi="仿宋_GB2312" w:eastAsia="仿宋_GB2312" w:cs="Times New Roman"/>
                <w:b/>
                <w:bCs/>
                <w:sz w:val="24"/>
                <w:lang w:val="en-US" w:eastAsia="zh-CN"/>
              </w:rPr>
              <w:t>保单</w:t>
            </w:r>
          </w:p>
        </w:tc>
        <w:tc>
          <w:tcPr>
            <w:tcW w:w="900" w:type="dxa"/>
            <w:shd w:val="clear" w:color="auto" w:fill="auto"/>
            <w:vAlign w:val="center"/>
          </w:tcPr>
          <w:p w14:paraId="09623A32">
            <w:pPr>
              <w:spacing w:line="360" w:lineRule="auto"/>
              <w:jc w:val="center"/>
              <w:rPr>
                <w:rFonts w:hint="eastAsia" w:ascii="仿宋_GB2312" w:hAnsi="仿宋_GB2312" w:eastAsia="仿宋_GB2312" w:cs="Times New Roman"/>
                <w:b/>
                <w:bCs/>
                <w:sz w:val="24"/>
                <w:lang w:val="en-US" w:eastAsia="zh-CN"/>
              </w:rPr>
            </w:pPr>
            <w:r>
              <w:rPr>
                <w:rFonts w:hint="eastAsia" w:ascii="仿宋_GB2312" w:hAnsi="仿宋_GB2312" w:eastAsia="仿宋_GB2312" w:cs="Times New Roman"/>
                <w:b/>
                <w:bCs/>
                <w:sz w:val="24"/>
                <w:lang w:val="en-US" w:eastAsia="zh-CN"/>
              </w:rPr>
              <w:t>保费报价</w:t>
            </w:r>
          </w:p>
        </w:tc>
      </w:tr>
      <w:tr w14:paraId="5BA8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9" w:type="dxa"/>
            <w:vMerge w:val="restart"/>
            <w:shd w:val="clear" w:color="auto" w:fill="auto"/>
            <w:vAlign w:val="center"/>
          </w:tcPr>
          <w:p w14:paraId="731370FF">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鼓楼</w:t>
            </w:r>
          </w:p>
          <w:p w14:paraId="4BF1E72D">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校区</w:t>
            </w:r>
          </w:p>
        </w:tc>
        <w:tc>
          <w:tcPr>
            <w:tcW w:w="1290" w:type="dxa"/>
            <w:vMerge w:val="restart"/>
            <w:shd w:val="clear" w:color="auto" w:fill="auto"/>
            <w:vAlign w:val="center"/>
          </w:tcPr>
          <w:p w14:paraId="1A3E7900">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吕志和游泳馆3022.5m²</w:t>
            </w:r>
          </w:p>
        </w:tc>
        <w:tc>
          <w:tcPr>
            <w:tcW w:w="1650" w:type="dxa"/>
            <w:shd w:val="clear" w:color="auto" w:fill="auto"/>
            <w:vAlign w:val="center"/>
          </w:tcPr>
          <w:p w14:paraId="69B4ABB2">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一楼健身房</w:t>
            </w:r>
          </w:p>
        </w:tc>
        <w:tc>
          <w:tcPr>
            <w:tcW w:w="1305" w:type="dxa"/>
            <w:shd w:val="clear" w:color="auto" w:fill="auto"/>
            <w:vAlign w:val="center"/>
          </w:tcPr>
          <w:p w14:paraId="532BBC6E">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510</w:t>
            </w:r>
          </w:p>
        </w:tc>
        <w:tc>
          <w:tcPr>
            <w:tcW w:w="1080" w:type="dxa"/>
            <w:vMerge w:val="restart"/>
            <w:shd w:val="clear" w:color="auto" w:fill="auto"/>
          </w:tcPr>
          <w:p w14:paraId="2CB34EB4">
            <w:pPr>
              <w:spacing w:line="360" w:lineRule="auto"/>
              <w:jc w:val="center"/>
              <w:rPr>
                <w:rFonts w:hint="eastAsia" w:ascii="仿宋_GB2312" w:hAnsi="仿宋_GB2312" w:eastAsia="仿宋_GB2312" w:cs="Times New Roman"/>
                <w:sz w:val="21"/>
                <w:szCs w:val="21"/>
                <w:lang w:val="en-US" w:eastAsia="zh-CN"/>
              </w:rPr>
            </w:pPr>
          </w:p>
        </w:tc>
        <w:tc>
          <w:tcPr>
            <w:tcW w:w="1365" w:type="dxa"/>
            <w:vMerge w:val="restart"/>
            <w:shd w:val="clear" w:color="auto" w:fill="auto"/>
          </w:tcPr>
          <w:p w14:paraId="75DF1D2A">
            <w:pPr>
              <w:spacing w:line="360" w:lineRule="auto"/>
              <w:jc w:val="center"/>
              <w:rPr>
                <w:rFonts w:hint="eastAsia" w:ascii="仿宋_GB2312" w:hAnsi="仿宋_GB2312" w:eastAsia="仿宋_GB2312" w:cs="Times New Roman"/>
                <w:sz w:val="21"/>
                <w:szCs w:val="21"/>
                <w:lang w:val="en-US" w:eastAsia="zh-CN"/>
              </w:rPr>
            </w:pPr>
          </w:p>
        </w:tc>
        <w:tc>
          <w:tcPr>
            <w:tcW w:w="840" w:type="dxa"/>
            <w:vMerge w:val="restart"/>
            <w:shd w:val="clear" w:color="auto" w:fill="auto"/>
            <w:vAlign w:val="center"/>
          </w:tcPr>
          <w:p w14:paraId="69B8D5A3">
            <w:pPr>
              <w:spacing w:line="360" w:lineRule="auto"/>
              <w:jc w:val="center"/>
              <w:rPr>
                <w:rFonts w:hint="eastAsia" w:ascii="仿宋_GB2312" w:hAnsi="仿宋_GB2312" w:eastAsia="仿宋_GB2312" w:cs="Times New Roman"/>
                <w:b/>
                <w:bCs/>
                <w:sz w:val="21"/>
                <w:szCs w:val="21"/>
                <w:lang w:val="en-US" w:eastAsia="zh-CN"/>
              </w:rPr>
            </w:pPr>
          </w:p>
        </w:tc>
        <w:tc>
          <w:tcPr>
            <w:tcW w:w="840" w:type="dxa"/>
            <w:vMerge w:val="restart"/>
            <w:shd w:val="clear" w:color="auto" w:fill="auto"/>
            <w:vAlign w:val="center"/>
          </w:tcPr>
          <w:p w14:paraId="0B6EC2EE">
            <w:pPr>
              <w:spacing w:line="360"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b/>
                <w:bCs/>
                <w:sz w:val="21"/>
                <w:szCs w:val="21"/>
                <w:lang w:val="en-US" w:eastAsia="zh-CN"/>
              </w:rPr>
              <w:t>保单1</w:t>
            </w:r>
          </w:p>
        </w:tc>
        <w:tc>
          <w:tcPr>
            <w:tcW w:w="900" w:type="dxa"/>
            <w:vMerge w:val="restart"/>
            <w:shd w:val="clear" w:color="auto" w:fill="auto"/>
          </w:tcPr>
          <w:p w14:paraId="7EE5D49B">
            <w:pPr>
              <w:spacing w:line="360" w:lineRule="auto"/>
              <w:jc w:val="center"/>
              <w:rPr>
                <w:rFonts w:hint="eastAsia" w:ascii="仿宋_GB2312" w:hAnsi="仿宋_GB2312" w:eastAsia="仿宋_GB2312" w:cs="Times New Roman"/>
                <w:sz w:val="21"/>
                <w:szCs w:val="21"/>
                <w:lang w:val="en-US" w:eastAsia="zh-CN"/>
              </w:rPr>
            </w:pPr>
          </w:p>
        </w:tc>
      </w:tr>
      <w:tr w14:paraId="2739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89" w:type="dxa"/>
            <w:vMerge w:val="continue"/>
            <w:shd w:val="clear" w:color="auto" w:fill="auto"/>
          </w:tcPr>
          <w:p w14:paraId="286490FB">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shd w:val="clear" w:color="auto" w:fill="auto"/>
          </w:tcPr>
          <w:p w14:paraId="351AAC59">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5B52B0E4">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一楼体操房</w:t>
            </w:r>
          </w:p>
        </w:tc>
        <w:tc>
          <w:tcPr>
            <w:tcW w:w="1305" w:type="dxa"/>
            <w:shd w:val="clear" w:color="auto" w:fill="auto"/>
            <w:vAlign w:val="center"/>
          </w:tcPr>
          <w:p w14:paraId="0E58FD83">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266</w:t>
            </w:r>
          </w:p>
        </w:tc>
        <w:tc>
          <w:tcPr>
            <w:tcW w:w="1080" w:type="dxa"/>
            <w:vMerge w:val="continue"/>
            <w:shd w:val="clear" w:color="auto" w:fill="auto"/>
          </w:tcPr>
          <w:p w14:paraId="7D58B53B">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shd w:val="clear" w:color="auto" w:fill="auto"/>
          </w:tcPr>
          <w:p w14:paraId="4F2D92DE">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226820FF">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5656DEB4">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shd w:val="clear" w:color="auto" w:fill="auto"/>
          </w:tcPr>
          <w:p w14:paraId="5F8DCD9B">
            <w:pPr>
              <w:spacing w:line="360" w:lineRule="auto"/>
              <w:jc w:val="center"/>
              <w:rPr>
                <w:rFonts w:hint="eastAsia" w:ascii="仿宋_GB2312" w:hAnsi="仿宋_GB2312" w:eastAsia="仿宋_GB2312" w:cs="Times New Roman"/>
                <w:sz w:val="21"/>
                <w:szCs w:val="21"/>
                <w:lang w:val="en-US" w:eastAsia="zh-CN"/>
              </w:rPr>
            </w:pPr>
          </w:p>
        </w:tc>
      </w:tr>
      <w:tr w14:paraId="4C45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89" w:type="dxa"/>
            <w:vMerge w:val="continue"/>
            <w:shd w:val="clear" w:color="auto" w:fill="auto"/>
          </w:tcPr>
          <w:p w14:paraId="3F7EE098">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shd w:val="clear" w:color="auto" w:fill="auto"/>
          </w:tcPr>
          <w:p w14:paraId="480BA433">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0EBEAC84">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三楼跆拳道馆</w:t>
            </w:r>
          </w:p>
        </w:tc>
        <w:tc>
          <w:tcPr>
            <w:tcW w:w="1305" w:type="dxa"/>
            <w:shd w:val="clear" w:color="auto" w:fill="auto"/>
            <w:vAlign w:val="center"/>
          </w:tcPr>
          <w:p w14:paraId="76B227D7">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125</w:t>
            </w:r>
          </w:p>
        </w:tc>
        <w:tc>
          <w:tcPr>
            <w:tcW w:w="1080" w:type="dxa"/>
            <w:vMerge w:val="continue"/>
            <w:shd w:val="clear" w:color="auto" w:fill="auto"/>
          </w:tcPr>
          <w:p w14:paraId="1E756373">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shd w:val="clear" w:color="auto" w:fill="auto"/>
          </w:tcPr>
          <w:p w14:paraId="7D4E9523">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1D8A4C27">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1BA73520">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shd w:val="clear" w:color="auto" w:fill="auto"/>
          </w:tcPr>
          <w:p w14:paraId="01758CC2">
            <w:pPr>
              <w:spacing w:line="360" w:lineRule="auto"/>
              <w:jc w:val="center"/>
              <w:rPr>
                <w:rFonts w:hint="eastAsia" w:ascii="仿宋_GB2312" w:hAnsi="仿宋_GB2312" w:eastAsia="仿宋_GB2312" w:cs="Times New Roman"/>
                <w:sz w:val="21"/>
                <w:szCs w:val="21"/>
                <w:lang w:val="en-US" w:eastAsia="zh-CN"/>
              </w:rPr>
            </w:pPr>
          </w:p>
        </w:tc>
      </w:tr>
      <w:tr w14:paraId="7C74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89" w:type="dxa"/>
            <w:vMerge w:val="continue"/>
            <w:shd w:val="clear" w:color="auto" w:fill="auto"/>
          </w:tcPr>
          <w:p w14:paraId="3CBE4234">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shd w:val="clear" w:color="auto" w:fill="auto"/>
          </w:tcPr>
          <w:p w14:paraId="05DDFAB7">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38E2962C">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三楼健美操室</w:t>
            </w:r>
          </w:p>
        </w:tc>
        <w:tc>
          <w:tcPr>
            <w:tcW w:w="1305" w:type="dxa"/>
            <w:shd w:val="clear" w:color="auto" w:fill="auto"/>
            <w:vAlign w:val="center"/>
          </w:tcPr>
          <w:p w14:paraId="2685F2C5">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539.5</w:t>
            </w:r>
          </w:p>
        </w:tc>
        <w:tc>
          <w:tcPr>
            <w:tcW w:w="1080" w:type="dxa"/>
            <w:vMerge w:val="continue"/>
            <w:shd w:val="clear" w:color="auto" w:fill="auto"/>
          </w:tcPr>
          <w:p w14:paraId="32891276">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shd w:val="clear" w:color="auto" w:fill="auto"/>
          </w:tcPr>
          <w:p w14:paraId="44AADADC">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5C99F614">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3EEF610B">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shd w:val="clear" w:color="auto" w:fill="auto"/>
          </w:tcPr>
          <w:p w14:paraId="43D8530D">
            <w:pPr>
              <w:spacing w:line="360" w:lineRule="auto"/>
              <w:jc w:val="center"/>
              <w:rPr>
                <w:rFonts w:hint="eastAsia" w:ascii="仿宋_GB2312" w:hAnsi="仿宋_GB2312" w:eastAsia="仿宋_GB2312" w:cs="Times New Roman"/>
                <w:sz w:val="21"/>
                <w:szCs w:val="21"/>
                <w:lang w:val="en-US" w:eastAsia="zh-CN"/>
              </w:rPr>
            </w:pPr>
          </w:p>
        </w:tc>
      </w:tr>
      <w:tr w14:paraId="1565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89" w:type="dxa"/>
            <w:vMerge w:val="continue"/>
            <w:shd w:val="clear" w:color="auto" w:fill="auto"/>
          </w:tcPr>
          <w:p w14:paraId="5C3F483A">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shd w:val="clear" w:color="auto" w:fill="auto"/>
          </w:tcPr>
          <w:p w14:paraId="652D905D">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1FA17B05">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四楼乒乓球厅</w:t>
            </w:r>
          </w:p>
        </w:tc>
        <w:tc>
          <w:tcPr>
            <w:tcW w:w="1305" w:type="dxa"/>
            <w:shd w:val="clear" w:color="auto" w:fill="auto"/>
            <w:vAlign w:val="center"/>
          </w:tcPr>
          <w:p w14:paraId="05D261E0">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756</w:t>
            </w:r>
          </w:p>
        </w:tc>
        <w:tc>
          <w:tcPr>
            <w:tcW w:w="1080" w:type="dxa"/>
            <w:vMerge w:val="continue"/>
            <w:shd w:val="clear" w:color="auto" w:fill="auto"/>
          </w:tcPr>
          <w:p w14:paraId="54D96C49">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shd w:val="clear" w:color="auto" w:fill="auto"/>
          </w:tcPr>
          <w:p w14:paraId="28904B59">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41A17068">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7813F3B7">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shd w:val="clear" w:color="auto" w:fill="auto"/>
          </w:tcPr>
          <w:p w14:paraId="4480BA8E">
            <w:pPr>
              <w:spacing w:line="360" w:lineRule="auto"/>
              <w:jc w:val="center"/>
              <w:rPr>
                <w:rFonts w:hint="eastAsia" w:ascii="仿宋_GB2312" w:hAnsi="仿宋_GB2312" w:eastAsia="仿宋_GB2312" w:cs="Times New Roman"/>
                <w:sz w:val="21"/>
                <w:szCs w:val="21"/>
                <w:lang w:val="en-US" w:eastAsia="zh-CN"/>
              </w:rPr>
            </w:pPr>
          </w:p>
        </w:tc>
      </w:tr>
      <w:tr w14:paraId="2904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89" w:type="dxa"/>
            <w:vMerge w:val="continue"/>
            <w:shd w:val="clear" w:color="auto" w:fill="auto"/>
          </w:tcPr>
          <w:p w14:paraId="3B5F7C64">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shd w:val="clear" w:color="auto" w:fill="auto"/>
          </w:tcPr>
          <w:p w14:paraId="6AD11F69">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413BE9B6">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大厅等公共区域及附属用房</w:t>
            </w:r>
          </w:p>
        </w:tc>
        <w:tc>
          <w:tcPr>
            <w:tcW w:w="1305" w:type="dxa"/>
            <w:shd w:val="clear" w:color="auto" w:fill="auto"/>
            <w:vAlign w:val="center"/>
          </w:tcPr>
          <w:p w14:paraId="69C29CB1">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826</w:t>
            </w:r>
          </w:p>
        </w:tc>
        <w:tc>
          <w:tcPr>
            <w:tcW w:w="1080" w:type="dxa"/>
            <w:vMerge w:val="continue"/>
            <w:shd w:val="clear" w:color="auto" w:fill="auto"/>
          </w:tcPr>
          <w:p w14:paraId="12D610BA">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shd w:val="clear" w:color="auto" w:fill="auto"/>
          </w:tcPr>
          <w:p w14:paraId="0D0935BA">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12D29B49">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38131787">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shd w:val="clear" w:color="auto" w:fill="auto"/>
          </w:tcPr>
          <w:p w14:paraId="6E668D2E">
            <w:pPr>
              <w:spacing w:line="360" w:lineRule="auto"/>
              <w:jc w:val="center"/>
              <w:rPr>
                <w:rFonts w:hint="eastAsia" w:ascii="仿宋_GB2312" w:hAnsi="仿宋_GB2312" w:eastAsia="仿宋_GB2312" w:cs="Times New Roman"/>
                <w:sz w:val="21"/>
                <w:szCs w:val="21"/>
                <w:lang w:val="en-US" w:eastAsia="zh-CN"/>
              </w:rPr>
            </w:pPr>
          </w:p>
        </w:tc>
      </w:tr>
      <w:tr w14:paraId="2632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89" w:type="dxa"/>
            <w:vMerge w:val="continue"/>
            <w:shd w:val="clear" w:color="auto" w:fill="auto"/>
          </w:tcPr>
          <w:p w14:paraId="0147FAA3">
            <w:pPr>
              <w:spacing w:line="360" w:lineRule="auto"/>
              <w:jc w:val="center"/>
              <w:rPr>
                <w:rFonts w:hint="eastAsia" w:ascii="仿宋_GB2312" w:hAnsi="仿宋_GB2312" w:eastAsia="仿宋_GB2312" w:cs="Times New Roman"/>
                <w:sz w:val="18"/>
                <w:szCs w:val="18"/>
                <w:lang w:val="en-US" w:eastAsia="zh-CN"/>
              </w:rPr>
            </w:pPr>
          </w:p>
        </w:tc>
        <w:tc>
          <w:tcPr>
            <w:tcW w:w="1290" w:type="dxa"/>
            <w:vMerge w:val="restart"/>
            <w:shd w:val="clear" w:color="auto" w:fill="auto"/>
            <w:vAlign w:val="center"/>
          </w:tcPr>
          <w:p w14:paraId="7C3F5E24">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体育馆全馆</w:t>
            </w:r>
            <w:r>
              <w:rPr>
                <w:rFonts w:hint="eastAsia" w:ascii="仿宋_GB2312" w:hAnsi="仿宋_GB2312" w:eastAsia="仿宋_GB2312" w:cs="Times New Roman"/>
                <w:sz w:val="18"/>
                <w:szCs w:val="18"/>
                <w:lang w:val="en-US" w:eastAsia="zh-CN"/>
              </w:rPr>
              <w:br w:type="textWrapping"/>
            </w:r>
            <w:r>
              <w:rPr>
                <w:rFonts w:hint="eastAsia" w:ascii="仿宋_GB2312" w:hAnsi="仿宋_GB2312" w:eastAsia="仿宋_GB2312" w:cs="Times New Roman"/>
                <w:sz w:val="18"/>
                <w:szCs w:val="18"/>
                <w:lang w:val="en-US" w:eastAsia="zh-CN"/>
              </w:rPr>
              <w:t>1628m²</w:t>
            </w:r>
          </w:p>
        </w:tc>
        <w:tc>
          <w:tcPr>
            <w:tcW w:w="1650" w:type="dxa"/>
            <w:shd w:val="clear" w:color="auto" w:fill="auto"/>
            <w:vAlign w:val="center"/>
          </w:tcPr>
          <w:p w14:paraId="47D1B022">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羽毛球、篮球</w:t>
            </w:r>
          </w:p>
        </w:tc>
        <w:tc>
          <w:tcPr>
            <w:tcW w:w="1305" w:type="dxa"/>
            <w:shd w:val="clear" w:color="auto" w:fill="auto"/>
            <w:vAlign w:val="center"/>
          </w:tcPr>
          <w:p w14:paraId="1132DBC2">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1340</w:t>
            </w:r>
          </w:p>
        </w:tc>
        <w:tc>
          <w:tcPr>
            <w:tcW w:w="1080" w:type="dxa"/>
            <w:vMerge w:val="continue"/>
            <w:shd w:val="clear" w:color="auto" w:fill="auto"/>
          </w:tcPr>
          <w:p w14:paraId="3736BEA9">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shd w:val="clear" w:color="auto" w:fill="auto"/>
          </w:tcPr>
          <w:p w14:paraId="4AC22ABF">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078185EE">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shd w:val="clear" w:color="auto" w:fill="auto"/>
          </w:tcPr>
          <w:p w14:paraId="7D1940B9">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shd w:val="clear" w:color="auto" w:fill="auto"/>
          </w:tcPr>
          <w:p w14:paraId="16C91BB6">
            <w:pPr>
              <w:spacing w:line="360" w:lineRule="auto"/>
              <w:jc w:val="center"/>
              <w:rPr>
                <w:rFonts w:hint="eastAsia" w:ascii="仿宋_GB2312" w:hAnsi="仿宋_GB2312" w:eastAsia="仿宋_GB2312" w:cs="Times New Roman"/>
                <w:sz w:val="21"/>
                <w:szCs w:val="21"/>
                <w:lang w:val="en-US" w:eastAsia="zh-CN"/>
              </w:rPr>
            </w:pPr>
          </w:p>
        </w:tc>
      </w:tr>
      <w:tr w14:paraId="3762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89" w:type="dxa"/>
            <w:vMerge w:val="continue"/>
          </w:tcPr>
          <w:p w14:paraId="27F08E4F">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tcPr>
          <w:p w14:paraId="03DE0AD1">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4BA66B2B">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大厅等公共区域及附属用房</w:t>
            </w:r>
          </w:p>
        </w:tc>
        <w:tc>
          <w:tcPr>
            <w:tcW w:w="1305" w:type="dxa"/>
            <w:shd w:val="clear" w:color="auto" w:fill="auto"/>
            <w:vAlign w:val="center"/>
          </w:tcPr>
          <w:p w14:paraId="6249D32A">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288</w:t>
            </w:r>
          </w:p>
        </w:tc>
        <w:tc>
          <w:tcPr>
            <w:tcW w:w="1080" w:type="dxa"/>
            <w:vMerge w:val="continue"/>
          </w:tcPr>
          <w:p w14:paraId="6DD16F79">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tcPr>
          <w:p w14:paraId="0B09899D">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50D7C2E3">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42690E31">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tcPr>
          <w:p w14:paraId="7884AAA0">
            <w:pPr>
              <w:spacing w:line="360" w:lineRule="auto"/>
              <w:jc w:val="center"/>
              <w:rPr>
                <w:rFonts w:hint="eastAsia" w:ascii="仿宋_GB2312" w:hAnsi="仿宋_GB2312" w:eastAsia="仿宋_GB2312" w:cs="Times New Roman"/>
                <w:sz w:val="21"/>
                <w:szCs w:val="21"/>
                <w:lang w:val="en-US" w:eastAsia="zh-CN"/>
              </w:rPr>
            </w:pPr>
          </w:p>
        </w:tc>
      </w:tr>
      <w:tr w14:paraId="2D06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9" w:type="dxa"/>
            <w:vMerge w:val="restart"/>
            <w:vAlign w:val="center"/>
          </w:tcPr>
          <w:p w14:paraId="0DD9471C">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仙林校区</w:t>
            </w:r>
          </w:p>
        </w:tc>
        <w:tc>
          <w:tcPr>
            <w:tcW w:w="1290" w:type="dxa"/>
            <w:vMerge w:val="restart"/>
            <w:shd w:val="clear" w:color="auto" w:fill="auto"/>
            <w:vAlign w:val="center"/>
          </w:tcPr>
          <w:p w14:paraId="23E2BD5A">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方肇周体育馆全馆18483m²</w:t>
            </w:r>
          </w:p>
        </w:tc>
        <w:tc>
          <w:tcPr>
            <w:tcW w:w="1650" w:type="dxa"/>
            <w:shd w:val="clear" w:color="auto" w:fill="auto"/>
            <w:vAlign w:val="center"/>
          </w:tcPr>
          <w:p w14:paraId="70BE9DA1">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半地下健身房</w:t>
            </w:r>
          </w:p>
        </w:tc>
        <w:tc>
          <w:tcPr>
            <w:tcW w:w="1305" w:type="dxa"/>
            <w:shd w:val="clear" w:color="auto" w:fill="auto"/>
            <w:vAlign w:val="center"/>
          </w:tcPr>
          <w:p w14:paraId="7B3D9D96">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716.56</w:t>
            </w:r>
          </w:p>
        </w:tc>
        <w:tc>
          <w:tcPr>
            <w:tcW w:w="1080" w:type="dxa"/>
            <w:vMerge w:val="restart"/>
          </w:tcPr>
          <w:p w14:paraId="5B7422EB">
            <w:pPr>
              <w:spacing w:line="360" w:lineRule="auto"/>
              <w:jc w:val="center"/>
              <w:rPr>
                <w:rFonts w:hint="eastAsia" w:ascii="仿宋_GB2312" w:hAnsi="仿宋_GB2312" w:eastAsia="仿宋_GB2312" w:cs="Times New Roman"/>
                <w:sz w:val="21"/>
                <w:szCs w:val="21"/>
                <w:lang w:val="en-US" w:eastAsia="zh-CN"/>
              </w:rPr>
            </w:pPr>
          </w:p>
        </w:tc>
        <w:tc>
          <w:tcPr>
            <w:tcW w:w="1365" w:type="dxa"/>
            <w:vMerge w:val="restart"/>
          </w:tcPr>
          <w:p w14:paraId="78304F17">
            <w:pPr>
              <w:spacing w:line="360" w:lineRule="auto"/>
              <w:jc w:val="center"/>
              <w:rPr>
                <w:rFonts w:hint="eastAsia" w:ascii="仿宋_GB2312" w:hAnsi="仿宋_GB2312" w:eastAsia="仿宋_GB2312" w:cs="Times New Roman"/>
                <w:sz w:val="21"/>
                <w:szCs w:val="21"/>
                <w:lang w:val="en-US" w:eastAsia="zh-CN"/>
              </w:rPr>
            </w:pPr>
          </w:p>
        </w:tc>
        <w:tc>
          <w:tcPr>
            <w:tcW w:w="840" w:type="dxa"/>
            <w:vMerge w:val="restart"/>
          </w:tcPr>
          <w:p w14:paraId="4B961B86">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52EF49E0">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tcPr>
          <w:p w14:paraId="7C44B58E">
            <w:pPr>
              <w:spacing w:line="360" w:lineRule="auto"/>
              <w:jc w:val="center"/>
              <w:rPr>
                <w:rFonts w:hint="eastAsia" w:ascii="仿宋_GB2312" w:hAnsi="仿宋_GB2312" w:eastAsia="仿宋_GB2312" w:cs="Times New Roman"/>
                <w:sz w:val="21"/>
                <w:szCs w:val="21"/>
                <w:lang w:val="en-US" w:eastAsia="zh-CN"/>
              </w:rPr>
            </w:pPr>
          </w:p>
        </w:tc>
      </w:tr>
      <w:tr w14:paraId="3D56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89" w:type="dxa"/>
            <w:vMerge w:val="continue"/>
          </w:tcPr>
          <w:p w14:paraId="63245FE9">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tcPr>
          <w:p w14:paraId="4E526F01">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729919F0">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半地下篮排球馆</w:t>
            </w:r>
          </w:p>
        </w:tc>
        <w:tc>
          <w:tcPr>
            <w:tcW w:w="1305" w:type="dxa"/>
            <w:shd w:val="clear" w:color="auto" w:fill="auto"/>
            <w:vAlign w:val="center"/>
          </w:tcPr>
          <w:p w14:paraId="6BE569F1">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1554.72</w:t>
            </w:r>
          </w:p>
        </w:tc>
        <w:tc>
          <w:tcPr>
            <w:tcW w:w="1080" w:type="dxa"/>
            <w:vMerge w:val="continue"/>
          </w:tcPr>
          <w:p w14:paraId="3CCD6355">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tcPr>
          <w:p w14:paraId="756D5A8A">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1FCB80C8">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47F8A215">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tcPr>
          <w:p w14:paraId="32CD6FE2">
            <w:pPr>
              <w:spacing w:line="360" w:lineRule="auto"/>
              <w:jc w:val="center"/>
              <w:rPr>
                <w:rFonts w:hint="eastAsia" w:ascii="仿宋_GB2312" w:hAnsi="仿宋_GB2312" w:eastAsia="仿宋_GB2312" w:cs="Times New Roman"/>
                <w:sz w:val="21"/>
                <w:szCs w:val="21"/>
                <w:lang w:val="en-US" w:eastAsia="zh-CN"/>
              </w:rPr>
            </w:pPr>
          </w:p>
        </w:tc>
      </w:tr>
      <w:tr w14:paraId="6CF9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89" w:type="dxa"/>
            <w:vMerge w:val="continue"/>
          </w:tcPr>
          <w:p w14:paraId="2A219D35">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tcPr>
          <w:p w14:paraId="1B581B1F">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52BB1B3D">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一楼跆拳道馆</w:t>
            </w:r>
          </w:p>
        </w:tc>
        <w:tc>
          <w:tcPr>
            <w:tcW w:w="1305" w:type="dxa"/>
            <w:shd w:val="clear" w:color="auto" w:fill="auto"/>
            <w:vAlign w:val="center"/>
          </w:tcPr>
          <w:p w14:paraId="20154322">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278.85</w:t>
            </w:r>
          </w:p>
        </w:tc>
        <w:tc>
          <w:tcPr>
            <w:tcW w:w="1080" w:type="dxa"/>
            <w:vMerge w:val="continue"/>
          </w:tcPr>
          <w:p w14:paraId="275436D4">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tcPr>
          <w:p w14:paraId="7F08C870">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27844420">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30D50098">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tcPr>
          <w:p w14:paraId="32A4E25B">
            <w:pPr>
              <w:spacing w:line="360" w:lineRule="auto"/>
              <w:jc w:val="center"/>
              <w:rPr>
                <w:rFonts w:hint="eastAsia" w:ascii="仿宋_GB2312" w:hAnsi="仿宋_GB2312" w:eastAsia="仿宋_GB2312" w:cs="Times New Roman"/>
                <w:sz w:val="21"/>
                <w:szCs w:val="21"/>
                <w:lang w:val="en-US" w:eastAsia="zh-CN"/>
              </w:rPr>
            </w:pPr>
          </w:p>
        </w:tc>
      </w:tr>
      <w:tr w14:paraId="4220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9" w:type="dxa"/>
            <w:vMerge w:val="continue"/>
          </w:tcPr>
          <w:p w14:paraId="0AE68700">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tcPr>
          <w:p w14:paraId="7ADEAA51">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5AB90A89">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一楼武术馆</w:t>
            </w:r>
          </w:p>
        </w:tc>
        <w:tc>
          <w:tcPr>
            <w:tcW w:w="1305" w:type="dxa"/>
            <w:shd w:val="clear" w:color="auto" w:fill="auto"/>
            <w:vAlign w:val="center"/>
          </w:tcPr>
          <w:p w14:paraId="72325936">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543.15</w:t>
            </w:r>
          </w:p>
        </w:tc>
        <w:tc>
          <w:tcPr>
            <w:tcW w:w="1080" w:type="dxa"/>
            <w:vMerge w:val="continue"/>
          </w:tcPr>
          <w:p w14:paraId="115BBBA4">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tcPr>
          <w:p w14:paraId="50023F53">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4C23982E">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2BBB6B17">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tcPr>
          <w:p w14:paraId="2FD4D6D5">
            <w:pPr>
              <w:spacing w:line="360" w:lineRule="auto"/>
              <w:jc w:val="center"/>
              <w:rPr>
                <w:rFonts w:hint="eastAsia" w:ascii="仿宋_GB2312" w:hAnsi="仿宋_GB2312" w:eastAsia="仿宋_GB2312" w:cs="Times New Roman"/>
                <w:sz w:val="21"/>
                <w:szCs w:val="21"/>
                <w:lang w:val="en-US" w:eastAsia="zh-CN"/>
              </w:rPr>
            </w:pPr>
          </w:p>
        </w:tc>
      </w:tr>
      <w:tr w14:paraId="252C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89" w:type="dxa"/>
            <w:vMerge w:val="continue"/>
          </w:tcPr>
          <w:p w14:paraId="50D7CCE4">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tcPr>
          <w:p w14:paraId="3566CEB5">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2A554AFD">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一楼体能测试馆</w:t>
            </w:r>
          </w:p>
        </w:tc>
        <w:tc>
          <w:tcPr>
            <w:tcW w:w="1305" w:type="dxa"/>
            <w:shd w:val="clear" w:color="auto" w:fill="auto"/>
            <w:vAlign w:val="center"/>
          </w:tcPr>
          <w:p w14:paraId="6364B6D7">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313.69</w:t>
            </w:r>
          </w:p>
        </w:tc>
        <w:tc>
          <w:tcPr>
            <w:tcW w:w="1080" w:type="dxa"/>
            <w:vMerge w:val="continue"/>
          </w:tcPr>
          <w:p w14:paraId="10AD0ECF">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tcPr>
          <w:p w14:paraId="1D92BB26">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0F059229">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75FCFCB9">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tcPr>
          <w:p w14:paraId="6D7C1827">
            <w:pPr>
              <w:spacing w:line="360" w:lineRule="auto"/>
              <w:jc w:val="center"/>
              <w:rPr>
                <w:rFonts w:hint="eastAsia" w:ascii="仿宋_GB2312" w:hAnsi="仿宋_GB2312" w:eastAsia="仿宋_GB2312" w:cs="Times New Roman"/>
                <w:sz w:val="21"/>
                <w:szCs w:val="21"/>
                <w:lang w:val="en-US" w:eastAsia="zh-CN"/>
              </w:rPr>
            </w:pPr>
          </w:p>
        </w:tc>
      </w:tr>
      <w:tr w14:paraId="712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89" w:type="dxa"/>
            <w:vMerge w:val="continue"/>
          </w:tcPr>
          <w:p w14:paraId="113C8375">
            <w:pPr>
              <w:spacing w:line="276" w:lineRule="auto"/>
              <w:jc w:val="center"/>
              <w:rPr>
                <w:rFonts w:ascii="仿宋_GB2312" w:hAnsi="仿宋_GB2312" w:eastAsia="仿宋_GB2312"/>
                <w:sz w:val="18"/>
                <w:szCs w:val="18"/>
              </w:rPr>
            </w:pPr>
          </w:p>
        </w:tc>
        <w:tc>
          <w:tcPr>
            <w:tcW w:w="1290" w:type="dxa"/>
            <w:vMerge w:val="continue"/>
          </w:tcPr>
          <w:p w14:paraId="760222D2">
            <w:pPr>
              <w:spacing w:line="276" w:lineRule="auto"/>
              <w:jc w:val="center"/>
              <w:rPr>
                <w:rFonts w:ascii="仿宋_GB2312" w:hAnsi="仿宋_GB2312" w:eastAsia="仿宋_GB2312"/>
                <w:sz w:val="18"/>
                <w:szCs w:val="18"/>
              </w:rPr>
            </w:pPr>
          </w:p>
        </w:tc>
        <w:tc>
          <w:tcPr>
            <w:tcW w:w="1650" w:type="dxa"/>
            <w:shd w:val="clear" w:color="auto" w:fill="auto"/>
            <w:vAlign w:val="center"/>
          </w:tcPr>
          <w:p w14:paraId="5090362C">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二楼乒羽馆</w:t>
            </w:r>
          </w:p>
        </w:tc>
        <w:tc>
          <w:tcPr>
            <w:tcW w:w="1305" w:type="dxa"/>
            <w:shd w:val="clear" w:color="auto" w:fill="auto"/>
            <w:vAlign w:val="center"/>
          </w:tcPr>
          <w:p w14:paraId="6DF95512">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1554.72</w:t>
            </w:r>
          </w:p>
        </w:tc>
        <w:tc>
          <w:tcPr>
            <w:tcW w:w="1080" w:type="dxa"/>
            <w:vMerge w:val="continue"/>
          </w:tcPr>
          <w:p w14:paraId="65E6E729">
            <w:pPr>
              <w:spacing w:line="276" w:lineRule="auto"/>
              <w:jc w:val="center"/>
              <w:rPr>
                <w:rFonts w:ascii="仿宋_GB2312" w:hAnsi="仿宋_GB2312" w:eastAsia="仿宋_GB2312"/>
                <w:sz w:val="24"/>
              </w:rPr>
            </w:pPr>
          </w:p>
        </w:tc>
        <w:tc>
          <w:tcPr>
            <w:tcW w:w="1365" w:type="dxa"/>
            <w:vMerge w:val="continue"/>
          </w:tcPr>
          <w:p w14:paraId="12EFB915">
            <w:pPr>
              <w:spacing w:line="276" w:lineRule="auto"/>
              <w:jc w:val="center"/>
              <w:rPr>
                <w:rFonts w:ascii="仿宋_GB2312" w:hAnsi="仿宋_GB2312" w:eastAsia="仿宋_GB2312"/>
                <w:sz w:val="24"/>
              </w:rPr>
            </w:pPr>
          </w:p>
        </w:tc>
        <w:tc>
          <w:tcPr>
            <w:tcW w:w="840" w:type="dxa"/>
            <w:vMerge w:val="continue"/>
          </w:tcPr>
          <w:p w14:paraId="41C6579A">
            <w:pPr>
              <w:spacing w:line="276" w:lineRule="auto"/>
              <w:jc w:val="center"/>
              <w:rPr>
                <w:rFonts w:ascii="仿宋_GB2312" w:hAnsi="仿宋_GB2312" w:eastAsia="仿宋_GB2312"/>
                <w:sz w:val="24"/>
              </w:rPr>
            </w:pPr>
          </w:p>
        </w:tc>
        <w:tc>
          <w:tcPr>
            <w:tcW w:w="840" w:type="dxa"/>
            <w:vMerge w:val="continue"/>
          </w:tcPr>
          <w:p w14:paraId="50BC3CA0">
            <w:pPr>
              <w:spacing w:line="276" w:lineRule="auto"/>
              <w:jc w:val="center"/>
              <w:rPr>
                <w:rFonts w:ascii="仿宋_GB2312" w:hAnsi="仿宋_GB2312" w:eastAsia="仿宋_GB2312"/>
                <w:sz w:val="24"/>
              </w:rPr>
            </w:pPr>
          </w:p>
        </w:tc>
        <w:tc>
          <w:tcPr>
            <w:tcW w:w="900" w:type="dxa"/>
            <w:vMerge w:val="continue"/>
          </w:tcPr>
          <w:p w14:paraId="61B9B31F">
            <w:pPr>
              <w:spacing w:line="276" w:lineRule="auto"/>
              <w:jc w:val="center"/>
              <w:rPr>
                <w:rFonts w:ascii="仿宋_GB2312" w:hAnsi="仿宋_GB2312" w:eastAsia="仿宋_GB2312"/>
                <w:sz w:val="24"/>
              </w:rPr>
            </w:pPr>
          </w:p>
        </w:tc>
      </w:tr>
      <w:tr w14:paraId="78D5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89" w:type="dxa"/>
            <w:vMerge w:val="continue"/>
          </w:tcPr>
          <w:p w14:paraId="6024D494">
            <w:pPr>
              <w:spacing w:line="276" w:lineRule="auto"/>
              <w:jc w:val="center"/>
              <w:rPr>
                <w:rFonts w:ascii="仿宋_GB2312" w:hAnsi="仿宋_GB2312" w:eastAsia="仿宋_GB2312"/>
                <w:sz w:val="18"/>
                <w:szCs w:val="18"/>
              </w:rPr>
            </w:pPr>
          </w:p>
        </w:tc>
        <w:tc>
          <w:tcPr>
            <w:tcW w:w="1290" w:type="dxa"/>
            <w:vMerge w:val="continue"/>
          </w:tcPr>
          <w:p w14:paraId="47187A30">
            <w:pPr>
              <w:spacing w:line="276" w:lineRule="auto"/>
              <w:jc w:val="center"/>
              <w:rPr>
                <w:rFonts w:ascii="仿宋_GB2312" w:hAnsi="仿宋_GB2312" w:eastAsia="仿宋_GB2312"/>
                <w:sz w:val="18"/>
                <w:szCs w:val="18"/>
              </w:rPr>
            </w:pPr>
          </w:p>
        </w:tc>
        <w:tc>
          <w:tcPr>
            <w:tcW w:w="1650" w:type="dxa"/>
            <w:shd w:val="clear" w:color="auto" w:fill="auto"/>
            <w:vAlign w:val="center"/>
          </w:tcPr>
          <w:p w14:paraId="435E22B6">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二楼健身操馆</w:t>
            </w:r>
          </w:p>
        </w:tc>
        <w:tc>
          <w:tcPr>
            <w:tcW w:w="1305" w:type="dxa"/>
            <w:shd w:val="clear" w:color="auto" w:fill="auto"/>
            <w:vAlign w:val="center"/>
          </w:tcPr>
          <w:p w14:paraId="77DBCDE8">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714</w:t>
            </w:r>
          </w:p>
        </w:tc>
        <w:tc>
          <w:tcPr>
            <w:tcW w:w="1080" w:type="dxa"/>
            <w:vMerge w:val="continue"/>
          </w:tcPr>
          <w:p w14:paraId="5F277EB0">
            <w:pPr>
              <w:spacing w:line="276" w:lineRule="auto"/>
              <w:jc w:val="center"/>
              <w:rPr>
                <w:rFonts w:ascii="仿宋_GB2312" w:hAnsi="仿宋_GB2312" w:eastAsia="仿宋_GB2312"/>
                <w:sz w:val="24"/>
              </w:rPr>
            </w:pPr>
          </w:p>
        </w:tc>
        <w:tc>
          <w:tcPr>
            <w:tcW w:w="1365" w:type="dxa"/>
            <w:vMerge w:val="continue"/>
          </w:tcPr>
          <w:p w14:paraId="0725967A">
            <w:pPr>
              <w:spacing w:line="276" w:lineRule="auto"/>
              <w:jc w:val="center"/>
              <w:rPr>
                <w:rFonts w:ascii="仿宋_GB2312" w:hAnsi="仿宋_GB2312" w:eastAsia="仿宋_GB2312"/>
                <w:sz w:val="24"/>
              </w:rPr>
            </w:pPr>
          </w:p>
        </w:tc>
        <w:tc>
          <w:tcPr>
            <w:tcW w:w="840" w:type="dxa"/>
            <w:vMerge w:val="continue"/>
          </w:tcPr>
          <w:p w14:paraId="31A1E0BB">
            <w:pPr>
              <w:spacing w:line="276" w:lineRule="auto"/>
              <w:jc w:val="center"/>
              <w:rPr>
                <w:rFonts w:ascii="仿宋_GB2312" w:hAnsi="仿宋_GB2312" w:eastAsia="仿宋_GB2312"/>
                <w:sz w:val="24"/>
              </w:rPr>
            </w:pPr>
          </w:p>
        </w:tc>
        <w:tc>
          <w:tcPr>
            <w:tcW w:w="840" w:type="dxa"/>
            <w:vMerge w:val="continue"/>
          </w:tcPr>
          <w:p w14:paraId="53872ABE">
            <w:pPr>
              <w:spacing w:line="276" w:lineRule="auto"/>
              <w:jc w:val="center"/>
              <w:rPr>
                <w:rFonts w:ascii="仿宋_GB2312" w:hAnsi="仿宋_GB2312" w:eastAsia="仿宋_GB2312"/>
                <w:sz w:val="24"/>
              </w:rPr>
            </w:pPr>
          </w:p>
        </w:tc>
        <w:tc>
          <w:tcPr>
            <w:tcW w:w="900" w:type="dxa"/>
            <w:vMerge w:val="continue"/>
          </w:tcPr>
          <w:p w14:paraId="4B965B89">
            <w:pPr>
              <w:spacing w:line="276" w:lineRule="auto"/>
              <w:jc w:val="center"/>
              <w:rPr>
                <w:rFonts w:ascii="仿宋_GB2312" w:hAnsi="仿宋_GB2312" w:eastAsia="仿宋_GB2312"/>
                <w:sz w:val="24"/>
              </w:rPr>
            </w:pPr>
          </w:p>
        </w:tc>
      </w:tr>
      <w:tr w14:paraId="580C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89" w:type="dxa"/>
            <w:vMerge w:val="continue"/>
          </w:tcPr>
          <w:p w14:paraId="1D5DC106">
            <w:pPr>
              <w:spacing w:line="276" w:lineRule="auto"/>
              <w:jc w:val="center"/>
              <w:rPr>
                <w:rFonts w:ascii="仿宋_GB2312" w:hAnsi="仿宋_GB2312" w:eastAsia="仿宋_GB2312"/>
                <w:sz w:val="18"/>
                <w:szCs w:val="18"/>
              </w:rPr>
            </w:pPr>
          </w:p>
        </w:tc>
        <w:tc>
          <w:tcPr>
            <w:tcW w:w="1290" w:type="dxa"/>
            <w:vMerge w:val="continue"/>
          </w:tcPr>
          <w:p w14:paraId="25256809">
            <w:pPr>
              <w:spacing w:line="276" w:lineRule="auto"/>
              <w:jc w:val="center"/>
              <w:rPr>
                <w:rFonts w:ascii="仿宋_GB2312" w:hAnsi="仿宋_GB2312" w:eastAsia="仿宋_GB2312"/>
                <w:sz w:val="18"/>
                <w:szCs w:val="18"/>
              </w:rPr>
            </w:pPr>
          </w:p>
        </w:tc>
        <w:tc>
          <w:tcPr>
            <w:tcW w:w="1650" w:type="dxa"/>
            <w:shd w:val="clear" w:color="auto" w:fill="auto"/>
            <w:vAlign w:val="center"/>
          </w:tcPr>
          <w:p w14:paraId="6B992ABE">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大厅等公共区域及附属用房</w:t>
            </w:r>
          </w:p>
        </w:tc>
        <w:tc>
          <w:tcPr>
            <w:tcW w:w="1305" w:type="dxa"/>
            <w:shd w:val="clear" w:color="auto" w:fill="auto"/>
            <w:vAlign w:val="center"/>
          </w:tcPr>
          <w:p w14:paraId="20DCD7D1">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12807</w:t>
            </w:r>
          </w:p>
        </w:tc>
        <w:tc>
          <w:tcPr>
            <w:tcW w:w="1080" w:type="dxa"/>
            <w:vMerge w:val="continue"/>
          </w:tcPr>
          <w:p w14:paraId="38B992F9">
            <w:pPr>
              <w:spacing w:line="276" w:lineRule="auto"/>
              <w:jc w:val="center"/>
              <w:rPr>
                <w:rFonts w:ascii="仿宋_GB2312" w:hAnsi="仿宋_GB2312" w:eastAsia="仿宋_GB2312"/>
                <w:sz w:val="24"/>
              </w:rPr>
            </w:pPr>
          </w:p>
        </w:tc>
        <w:tc>
          <w:tcPr>
            <w:tcW w:w="1365" w:type="dxa"/>
            <w:vMerge w:val="continue"/>
          </w:tcPr>
          <w:p w14:paraId="3BEAFC26">
            <w:pPr>
              <w:spacing w:line="276" w:lineRule="auto"/>
              <w:jc w:val="center"/>
              <w:rPr>
                <w:rFonts w:ascii="仿宋_GB2312" w:hAnsi="仿宋_GB2312" w:eastAsia="仿宋_GB2312"/>
                <w:sz w:val="24"/>
              </w:rPr>
            </w:pPr>
          </w:p>
        </w:tc>
        <w:tc>
          <w:tcPr>
            <w:tcW w:w="840" w:type="dxa"/>
            <w:vMerge w:val="continue"/>
          </w:tcPr>
          <w:p w14:paraId="36CE9097">
            <w:pPr>
              <w:spacing w:line="276" w:lineRule="auto"/>
              <w:jc w:val="center"/>
              <w:rPr>
                <w:rFonts w:ascii="仿宋_GB2312" w:hAnsi="仿宋_GB2312" w:eastAsia="仿宋_GB2312"/>
                <w:sz w:val="24"/>
              </w:rPr>
            </w:pPr>
          </w:p>
        </w:tc>
        <w:tc>
          <w:tcPr>
            <w:tcW w:w="840" w:type="dxa"/>
            <w:vMerge w:val="continue"/>
          </w:tcPr>
          <w:p w14:paraId="28D29F4C">
            <w:pPr>
              <w:spacing w:line="276" w:lineRule="auto"/>
              <w:jc w:val="center"/>
              <w:rPr>
                <w:rFonts w:ascii="仿宋_GB2312" w:hAnsi="仿宋_GB2312" w:eastAsia="仿宋_GB2312"/>
                <w:sz w:val="24"/>
              </w:rPr>
            </w:pPr>
          </w:p>
        </w:tc>
        <w:tc>
          <w:tcPr>
            <w:tcW w:w="900" w:type="dxa"/>
            <w:vMerge w:val="continue"/>
          </w:tcPr>
          <w:p w14:paraId="6E39DE8D">
            <w:pPr>
              <w:spacing w:line="276" w:lineRule="auto"/>
              <w:jc w:val="center"/>
              <w:rPr>
                <w:rFonts w:ascii="仿宋_GB2312" w:hAnsi="仿宋_GB2312" w:eastAsia="仿宋_GB2312"/>
                <w:sz w:val="24"/>
              </w:rPr>
            </w:pPr>
          </w:p>
        </w:tc>
      </w:tr>
      <w:tr w14:paraId="2BBB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89" w:type="dxa"/>
            <w:vMerge w:val="restart"/>
            <w:shd w:val="clear" w:color="auto" w:fill="auto"/>
            <w:vAlign w:val="center"/>
          </w:tcPr>
          <w:p w14:paraId="3EF3995D">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浦口校区</w:t>
            </w:r>
          </w:p>
        </w:tc>
        <w:tc>
          <w:tcPr>
            <w:tcW w:w="1290" w:type="dxa"/>
            <w:vMerge w:val="restart"/>
            <w:shd w:val="clear" w:color="auto" w:fill="auto"/>
            <w:vAlign w:val="center"/>
          </w:tcPr>
          <w:p w14:paraId="6C18D77D">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左涤江运动馆全馆3274m²</w:t>
            </w:r>
          </w:p>
        </w:tc>
        <w:tc>
          <w:tcPr>
            <w:tcW w:w="1650" w:type="dxa"/>
            <w:shd w:val="clear" w:color="auto" w:fill="auto"/>
            <w:vAlign w:val="center"/>
          </w:tcPr>
          <w:p w14:paraId="3320B5C0">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健身房</w:t>
            </w:r>
          </w:p>
        </w:tc>
        <w:tc>
          <w:tcPr>
            <w:tcW w:w="1305" w:type="dxa"/>
            <w:shd w:val="clear" w:color="auto" w:fill="auto"/>
            <w:vAlign w:val="center"/>
          </w:tcPr>
          <w:p w14:paraId="6D9B52AC">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180</w:t>
            </w:r>
          </w:p>
        </w:tc>
        <w:tc>
          <w:tcPr>
            <w:tcW w:w="1080" w:type="dxa"/>
            <w:vMerge w:val="restart"/>
          </w:tcPr>
          <w:p w14:paraId="0029A37C">
            <w:pPr>
              <w:spacing w:line="360" w:lineRule="auto"/>
              <w:jc w:val="center"/>
              <w:rPr>
                <w:rFonts w:hint="default" w:ascii="仿宋_GB2312" w:hAnsi="仿宋_GB2312" w:eastAsia="仿宋_GB2312" w:cs="Times New Roman"/>
                <w:sz w:val="21"/>
                <w:szCs w:val="21"/>
                <w:lang w:val="en-US" w:eastAsia="zh-CN"/>
              </w:rPr>
            </w:pPr>
          </w:p>
        </w:tc>
        <w:tc>
          <w:tcPr>
            <w:tcW w:w="1365" w:type="dxa"/>
            <w:vMerge w:val="restart"/>
          </w:tcPr>
          <w:p w14:paraId="5CEAA2BD">
            <w:pPr>
              <w:spacing w:line="360" w:lineRule="auto"/>
              <w:jc w:val="center"/>
              <w:rPr>
                <w:rFonts w:hint="default" w:ascii="仿宋_GB2312" w:hAnsi="仿宋_GB2312" w:eastAsia="仿宋_GB2312" w:cs="Times New Roman"/>
                <w:sz w:val="21"/>
                <w:szCs w:val="21"/>
                <w:lang w:val="en-US" w:eastAsia="zh-CN"/>
              </w:rPr>
            </w:pPr>
          </w:p>
        </w:tc>
        <w:tc>
          <w:tcPr>
            <w:tcW w:w="840" w:type="dxa"/>
            <w:vMerge w:val="restart"/>
          </w:tcPr>
          <w:p w14:paraId="38ABF123">
            <w:pPr>
              <w:spacing w:line="360" w:lineRule="auto"/>
              <w:jc w:val="center"/>
              <w:rPr>
                <w:rFonts w:hint="default" w:ascii="仿宋_GB2312" w:hAnsi="仿宋_GB2312" w:eastAsia="仿宋_GB2312" w:cs="Times New Roman"/>
                <w:sz w:val="21"/>
                <w:szCs w:val="21"/>
                <w:lang w:val="en-US" w:eastAsia="zh-CN"/>
              </w:rPr>
            </w:pPr>
          </w:p>
        </w:tc>
        <w:tc>
          <w:tcPr>
            <w:tcW w:w="840" w:type="dxa"/>
            <w:vMerge w:val="continue"/>
          </w:tcPr>
          <w:p w14:paraId="47046724">
            <w:pPr>
              <w:spacing w:line="360" w:lineRule="auto"/>
              <w:jc w:val="center"/>
              <w:rPr>
                <w:rFonts w:hint="default" w:ascii="仿宋_GB2312" w:hAnsi="仿宋_GB2312" w:eastAsia="仿宋_GB2312" w:cs="Times New Roman"/>
                <w:sz w:val="21"/>
                <w:szCs w:val="21"/>
                <w:lang w:val="en-US" w:eastAsia="zh-CN"/>
              </w:rPr>
            </w:pPr>
          </w:p>
        </w:tc>
        <w:tc>
          <w:tcPr>
            <w:tcW w:w="900" w:type="dxa"/>
            <w:vMerge w:val="continue"/>
          </w:tcPr>
          <w:p w14:paraId="155D70CC">
            <w:pPr>
              <w:spacing w:line="360" w:lineRule="auto"/>
              <w:jc w:val="center"/>
              <w:rPr>
                <w:rFonts w:hint="default" w:ascii="仿宋_GB2312" w:hAnsi="仿宋_GB2312" w:eastAsia="仿宋_GB2312" w:cs="Times New Roman"/>
                <w:sz w:val="21"/>
                <w:szCs w:val="21"/>
                <w:lang w:val="en-US" w:eastAsia="zh-CN"/>
              </w:rPr>
            </w:pPr>
          </w:p>
        </w:tc>
      </w:tr>
      <w:tr w14:paraId="2D7D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89" w:type="dxa"/>
            <w:vMerge w:val="continue"/>
          </w:tcPr>
          <w:p w14:paraId="6166FD2A">
            <w:pPr>
              <w:spacing w:line="360" w:lineRule="auto"/>
              <w:jc w:val="center"/>
              <w:rPr>
                <w:rFonts w:hint="default" w:ascii="仿宋_GB2312" w:hAnsi="仿宋_GB2312" w:eastAsia="仿宋_GB2312" w:cs="Times New Roman"/>
                <w:sz w:val="18"/>
                <w:szCs w:val="18"/>
                <w:lang w:val="en-US" w:eastAsia="zh-CN"/>
              </w:rPr>
            </w:pPr>
          </w:p>
        </w:tc>
        <w:tc>
          <w:tcPr>
            <w:tcW w:w="1290" w:type="dxa"/>
            <w:vMerge w:val="continue"/>
          </w:tcPr>
          <w:p w14:paraId="17C85909">
            <w:pPr>
              <w:spacing w:line="360" w:lineRule="auto"/>
              <w:jc w:val="center"/>
              <w:rPr>
                <w:rFonts w:hint="default" w:ascii="仿宋_GB2312" w:hAnsi="仿宋_GB2312" w:eastAsia="仿宋_GB2312" w:cs="Times New Roman"/>
                <w:sz w:val="18"/>
                <w:szCs w:val="18"/>
                <w:lang w:val="en-US" w:eastAsia="zh-CN"/>
              </w:rPr>
            </w:pPr>
          </w:p>
        </w:tc>
        <w:tc>
          <w:tcPr>
            <w:tcW w:w="1650" w:type="dxa"/>
            <w:shd w:val="clear" w:color="auto" w:fill="auto"/>
            <w:vAlign w:val="center"/>
          </w:tcPr>
          <w:p w14:paraId="4D08D0C6">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乒羽馆</w:t>
            </w:r>
          </w:p>
        </w:tc>
        <w:tc>
          <w:tcPr>
            <w:tcW w:w="1305" w:type="dxa"/>
            <w:shd w:val="clear" w:color="auto" w:fill="auto"/>
            <w:vAlign w:val="center"/>
          </w:tcPr>
          <w:p w14:paraId="021DAA70">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2300</w:t>
            </w:r>
          </w:p>
        </w:tc>
        <w:tc>
          <w:tcPr>
            <w:tcW w:w="1080" w:type="dxa"/>
            <w:vMerge w:val="continue"/>
          </w:tcPr>
          <w:p w14:paraId="292C4BC2">
            <w:pPr>
              <w:spacing w:line="360" w:lineRule="auto"/>
              <w:jc w:val="center"/>
              <w:rPr>
                <w:rFonts w:hint="default" w:ascii="仿宋_GB2312" w:hAnsi="仿宋_GB2312" w:eastAsia="仿宋_GB2312" w:cs="Times New Roman"/>
                <w:sz w:val="21"/>
                <w:szCs w:val="21"/>
                <w:lang w:val="en-US" w:eastAsia="zh-CN"/>
              </w:rPr>
            </w:pPr>
          </w:p>
        </w:tc>
        <w:tc>
          <w:tcPr>
            <w:tcW w:w="1365" w:type="dxa"/>
            <w:vMerge w:val="continue"/>
          </w:tcPr>
          <w:p w14:paraId="72C484FB">
            <w:pPr>
              <w:spacing w:line="360" w:lineRule="auto"/>
              <w:jc w:val="center"/>
              <w:rPr>
                <w:rFonts w:hint="default" w:ascii="仿宋_GB2312" w:hAnsi="仿宋_GB2312" w:eastAsia="仿宋_GB2312" w:cs="Times New Roman"/>
                <w:sz w:val="21"/>
                <w:szCs w:val="21"/>
                <w:lang w:val="en-US" w:eastAsia="zh-CN"/>
              </w:rPr>
            </w:pPr>
          </w:p>
        </w:tc>
        <w:tc>
          <w:tcPr>
            <w:tcW w:w="840" w:type="dxa"/>
            <w:vMerge w:val="continue"/>
          </w:tcPr>
          <w:p w14:paraId="68813F49">
            <w:pPr>
              <w:spacing w:line="360" w:lineRule="auto"/>
              <w:jc w:val="center"/>
              <w:rPr>
                <w:rFonts w:hint="default" w:ascii="仿宋_GB2312" w:hAnsi="仿宋_GB2312" w:eastAsia="仿宋_GB2312" w:cs="Times New Roman"/>
                <w:sz w:val="21"/>
                <w:szCs w:val="21"/>
                <w:lang w:val="en-US" w:eastAsia="zh-CN"/>
              </w:rPr>
            </w:pPr>
          </w:p>
        </w:tc>
        <w:tc>
          <w:tcPr>
            <w:tcW w:w="840" w:type="dxa"/>
            <w:vMerge w:val="continue"/>
          </w:tcPr>
          <w:p w14:paraId="1C6EB28D">
            <w:pPr>
              <w:spacing w:line="360" w:lineRule="auto"/>
              <w:jc w:val="center"/>
              <w:rPr>
                <w:rFonts w:hint="default" w:ascii="仿宋_GB2312" w:hAnsi="仿宋_GB2312" w:eastAsia="仿宋_GB2312" w:cs="Times New Roman"/>
                <w:sz w:val="21"/>
                <w:szCs w:val="21"/>
                <w:lang w:val="en-US" w:eastAsia="zh-CN"/>
              </w:rPr>
            </w:pPr>
          </w:p>
        </w:tc>
        <w:tc>
          <w:tcPr>
            <w:tcW w:w="900" w:type="dxa"/>
            <w:vMerge w:val="continue"/>
          </w:tcPr>
          <w:p w14:paraId="4C5DB7DC">
            <w:pPr>
              <w:spacing w:line="360" w:lineRule="auto"/>
              <w:jc w:val="center"/>
              <w:rPr>
                <w:rFonts w:hint="default" w:ascii="仿宋_GB2312" w:hAnsi="仿宋_GB2312" w:eastAsia="仿宋_GB2312" w:cs="Times New Roman"/>
                <w:sz w:val="21"/>
                <w:szCs w:val="21"/>
                <w:lang w:val="en-US" w:eastAsia="zh-CN"/>
              </w:rPr>
            </w:pPr>
          </w:p>
        </w:tc>
      </w:tr>
      <w:tr w14:paraId="68E6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89" w:type="dxa"/>
            <w:vMerge w:val="continue"/>
          </w:tcPr>
          <w:p w14:paraId="261B7C81">
            <w:pPr>
              <w:spacing w:line="360" w:lineRule="auto"/>
              <w:jc w:val="center"/>
              <w:rPr>
                <w:rFonts w:hint="eastAsia" w:ascii="仿宋_GB2312" w:hAnsi="仿宋_GB2312" w:eastAsia="仿宋_GB2312" w:cs="Times New Roman"/>
                <w:sz w:val="18"/>
                <w:szCs w:val="18"/>
                <w:lang w:val="en-US" w:eastAsia="zh-CN"/>
              </w:rPr>
            </w:pPr>
          </w:p>
        </w:tc>
        <w:tc>
          <w:tcPr>
            <w:tcW w:w="1290" w:type="dxa"/>
            <w:vMerge w:val="continue"/>
          </w:tcPr>
          <w:p w14:paraId="55A0CABA">
            <w:pPr>
              <w:spacing w:line="360" w:lineRule="auto"/>
              <w:jc w:val="center"/>
              <w:rPr>
                <w:rFonts w:hint="eastAsia" w:ascii="仿宋_GB2312" w:hAnsi="仿宋_GB2312" w:eastAsia="仿宋_GB2312" w:cs="Times New Roman"/>
                <w:sz w:val="18"/>
                <w:szCs w:val="18"/>
                <w:lang w:val="en-US" w:eastAsia="zh-CN"/>
              </w:rPr>
            </w:pPr>
          </w:p>
        </w:tc>
        <w:tc>
          <w:tcPr>
            <w:tcW w:w="1650" w:type="dxa"/>
            <w:shd w:val="clear" w:color="auto" w:fill="auto"/>
            <w:vAlign w:val="center"/>
          </w:tcPr>
          <w:p w14:paraId="6E308157">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舞蹈房</w:t>
            </w:r>
          </w:p>
        </w:tc>
        <w:tc>
          <w:tcPr>
            <w:tcW w:w="1305" w:type="dxa"/>
            <w:shd w:val="clear" w:color="auto" w:fill="auto"/>
            <w:vAlign w:val="center"/>
          </w:tcPr>
          <w:p w14:paraId="657EA3CD">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80</w:t>
            </w:r>
          </w:p>
        </w:tc>
        <w:tc>
          <w:tcPr>
            <w:tcW w:w="1080" w:type="dxa"/>
            <w:vMerge w:val="continue"/>
          </w:tcPr>
          <w:p w14:paraId="39C5D722">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tcPr>
          <w:p w14:paraId="01B217CD">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4A6E9772">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6B653F27">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tcPr>
          <w:p w14:paraId="7DE605FF">
            <w:pPr>
              <w:spacing w:line="360" w:lineRule="auto"/>
              <w:jc w:val="center"/>
              <w:rPr>
                <w:rFonts w:hint="eastAsia" w:ascii="仿宋_GB2312" w:hAnsi="仿宋_GB2312" w:eastAsia="仿宋_GB2312" w:cs="Times New Roman"/>
                <w:sz w:val="21"/>
                <w:szCs w:val="21"/>
                <w:lang w:val="en-US" w:eastAsia="zh-CN"/>
              </w:rPr>
            </w:pPr>
          </w:p>
        </w:tc>
      </w:tr>
      <w:tr w14:paraId="1573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89" w:type="dxa"/>
            <w:vMerge w:val="continue"/>
          </w:tcPr>
          <w:p w14:paraId="7D79F3C9">
            <w:pPr>
              <w:spacing w:line="360" w:lineRule="auto"/>
              <w:jc w:val="center"/>
              <w:rPr>
                <w:rFonts w:hint="eastAsia" w:ascii="仿宋_GB2312" w:hAnsi="仿宋_GB2312" w:eastAsia="仿宋_GB2312" w:cs="Times New Roman"/>
                <w:sz w:val="21"/>
                <w:szCs w:val="21"/>
                <w:lang w:val="en-US" w:eastAsia="zh-CN"/>
              </w:rPr>
            </w:pPr>
          </w:p>
        </w:tc>
        <w:tc>
          <w:tcPr>
            <w:tcW w:w="1290" w:type="dxa"/>
            <w:vMerge w:val="continue"/>
          </w:tcPr>
          <w:p w14:paraId="0D18D6D4">
            <w:pPr>
              <w:spacing w:line="360" w:lineRule="auto"/>
              <w:jc w:val="center"/>
              <w:rPr>
                <w:rFonts w:hint="eastAsia" w:ascii="仿宋_GB2312" w:hAnsi="仿宋_GB2312" w:eastAsia="仿宋_GB2312" w:cs="Times New Roman"/>
                <w:sz w:val="21"/>
                <w:szCs w:val="21"/>
                <w:lang w:val="en-US" w:eastAsia="zh-CN"/>
              </w:rPr>
            </w:pPr>
          </w:p>
        </w:tc>
        <w:tc>
          <w:tcPr>
            <w:tcW w:w="1650" w:type="dxa"/>
            <w:shd w:val="clear" w:color="auto" w:fill="auto"/>
            <w:vAlign w:val="center"/>
          </w:tcPr>
          <w:p w14:paraId="75E987C5">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大厅等公共区域及附属用房</w:t>
            </w:r>
          </w:p>
        </w:tc>
        <w:tc>
          <w:tcPr>
            <w:tcW w:w="1305" w:type="dxa"/>
            <w:shd w:val="clear" w:color="auto" w:fill="auto"/>
            <w:vAlign w:val="center"/>
          </w:tcPr>
          <w:p w14:paraId="278DE854">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714</w:t>
            </w:r>
          </w:p>
        </w:tc>
        <w:tc>
          <w:tcPr>
            <w:tcW w:w="1080" w:type="dxa"/>
            <w:vMerge w:val="continue"/>
          </w:tcPr>
          <w:p w14:paraId="0F308C33">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tcPr>
          <w:p w14:paraId="61EF693D">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106D4A13">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41F6A6EC">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tcPr>
          <w:p w14:paraId="23DD4E28">
            <w:pPr>
              <w:spacing w:line="360" w:lineRule="auto"/>
              <w:jc w:val="center"/>
              <w:rPr>
                <w:rFonts w:hint="eastAsia" w:ascii="仿宋_GB2312" w:hAnsi="仿宋_GB2312" w:eastAsia="仿宋_GB2312" w:cs="Times New Roman"/>
                <w:sz w:val="21"/>
                <w:szCs w:val="21"/>
                <w:lang w:val="en-US" w:eastAsia="zh-CN"/>
              </w:rPr>
            </w:pPr>
          </w:p>
        </w:tc>
      </w:tr>
      <w:tr w14:paraId="3BAB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89" w:type="dxa"/>
            <w:vAlign w:val="center"/>
          </w:tcPr>
          <w:p w14:paraId="2F88FA81">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鼓楼</w:t>
            </w:r>
          </w:p>
          <w:p w14:paraId="13642C83">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校区</w:t>
            </w:r>
          </w:p>
        </w:tc>
        <w:tc>
          <w:tcPr>
            <w:tcW w:w="1290" w:type="dxa"/>
            <w:vAlign w:val="center"/>
          </w:tcPr>
          <w:p w14:paraId="09E2D12D">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吕志和游泳馆二层2300m²</w:t>
            </w:r>
          </w:p>
        </w:tc>
        <w:tc>
          <w:tcPr>
            <w:tcW w:w="1650" w:type="dxa"/>
            <w:shd w:val="clear" w:color="auto" w:fill="auto"/>
            <w:vAlign w:val="center"/>
          </w:tcPr>
          <w:p w14:paraId="37FBBEF1">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二楼游泳馆</w:t>
            </w:r>
          </w:p>
          <w:p w14:paraId="5710981A">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color w:val="FF0000"/>
                <w:sz w:val="18"/>
                <w:szCs w:val="18"/>
                <w:lang w:val="en-US" w:eastAsia="zh-CN"/>
              </w:rPr>
              <w:t>（2026年8月1日起</w:t>
            </w:r>
            <w:r>
              <w:rPr>
                <w:rFonts w:hint="eastAsia" w:ascii="仿宋_GB2312" w:hAnsi="仿宋_GB2312" w:eastAsia="仿宋_GB2312" w:cs="Times New Roman"/>
                <w:color w:val="FF0000"/>
                <w:sz w:val="18"/>
                <w:szCs w:val="18"/>
                <w:lang w:val="en-US" w:eastAsia="zh-CN"/>
              </w:rPr>
              <w:t>承保</w:t>
            </w:r>
            <w:r>
              <w:rPr>
                <w:rFonts w:hint="default" w:ascii="仿宋_GB2312" w:hAnsi="仿宋_GB2312" w:eastAsia="仿宋_GB2312" w:cs="Times New Roman"/>
                <w:color w:val="FF0000"/>
                <w:sz w:val="18"/>
                <w:szCs w:val="18"/>
                <w:lang w:val="en-US" w:eastAsia="zh-CN"/>
              </w:rPr>
              <w:t>）</w:t>
            </w:r>
          </w:p>
        </w:tc>
        <w:tc>
          <w:tcPr>
            <w:tcW w:w="1305" w:type="dxa"/>
            <w:shd w:val="clear" w:color="auto" w:fill="auto"/>
            <w:vAlign w:val="center"/>
          </w:tcPr>
          <w:p w14:paraId="4867BD60">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2300</w:t>
            </w:r>
          </w:p>
        </w:tc>
        <w:tc>
          <w:tcPr>
            <w:tcW w:w="1080" w:type="dxa"/>
          </w:tcPr>
          <w:p w14:paraId="38533F74">
            <w:pPr>
              <w:spacing w:line="360" w:lineRule="auto"/>
              <w:jc w:val="center"/>
              <w:rPr>
                <w:rFonts w:hint="eastAsia" w:ascii="仿宋_GB2312" w:hAnsi="仿宋_GB2312" w:eastAsia="仿宋_GB2312" w:cs="Times New Roman"/>
                <w:sz w:val="21"/>
                <w:szCs w:val="21"/>
                <w:lang w:val="en-US" w:eastAsia="zh-CN"/>
              </w:rPr>
            </w:pPr>
          </w:p>
        </w:tc>
        <w:tc>
          <w:tcPr>
            <w:tcW w:w="1365" w:type="dxa"/>
          </w:tcPr>
          <w:p w14:paraId="1B0CCA9F">
            <w:pPr>
              <w:spacing w:line="360" w:lineRule="auto"/>
              <w:jc w:val="center"/>
              <w:rPr>
                <w:rFonts w:hint="eastAsia" w:ascii="仿宋_GB2312" w:hAnsi="仿宋_GB2312" w:eastAsia="仿宋_GB2312" w:cs="Times New Roman"/>
                <w:sz w:val="21"/>
                <w:szCs w:val="21"/>
                <w:lang w:val="en-US" w:eastAsia="zh-CN"/>
              </w:rPr>
            </w:pPr>
          </w:p>
        </w:tc>
        <w:tc>
          <w:tcPr>
            <w:tcW w:w="840" w:type="dxa"/>
          </w:tcPr>
          <w:p w14:paraId="7A9D01A5">
            <w:pPr>
              <w:spacing w:line="360" w:lineRule="auto"/>
              <w:jc w:val="center"/>
              <w:rPr>
                <w:rFonts w:hint="eastAsia" w:ascii="仿宋_GB2312" w:hAnsi="仿宋_GB2312" w:eastAsia="仿宋_GB2312" w:cs="Times New Roman"/>
                <w:sz w:val="21"/>
                <w:szCs w:val="21"/>
                <w:lang w:val="en-US" w:eastAsia="zh-CN"/>
              </w:rPr>
            </w:pPr>
          </w:p>
        </w:tc>
        <w:tc>
          <w:tcPr>
            <w:tcW w:w="840" w:type="dxa"/>
            <w:vAlign w:val="center"/>
          </w:tcPr>
          <w:p w14:paraId="72D5C88D">
            <w:pPr>
              <w:spacing w:line="360"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b/>
                <w:bCs/>
                <w:sz w:val="21"/>
                <w:szCs w:val="21"/>
                <w:lang w:val="en-US" w:eastAsia="zh-CN"/>
              </w:rPr>
              <w:t>保单2</w:t>
            </w:r>
          </w:p>
        </w:tc>
        <w:tc>
          <w:tcPr>
            <w:tcW w:w="900" w:type="dxa"/>
          </w:tcPr>
          <w:p w14:paraId="5ABC0A0A">
            <w:pPr>
              <w:spacing w:line="360" w:lineRule="auto"/>
              <w:jc w:val="center"/>
              <w:rPr>
                <w:rFonts w:hint="eastAsia" w:ascii="仿宋_GB2312" w:hAnsi="仿宋_GB2312" w:eastAsia="仿宋_GB2312" w:cs="Times New Roman"/>
                <w:sz w:val="21"/>
                <w:szCs w:val="21"/>
                <w:lang w:val="en-US" w:eastAsia="zh-CN"/>
              </w:rPr>
            </w:pPr>
          </w:p>
        </w:tc>
      </w:tr>
      <w:tr w14:paraId="2AD2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89" w:type="dxa"/>
            <w:vMerge w:val="restart"/>
            <w:vAlign w:val="center"/>
          </w:tcPr>
          <w:p w14:paraId="39CAC116">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仙林</w:t>
            </w:r>
          </w:p>
          <w:p w14:paraId="3C44F28E">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校区</w:t>
            </w:r>
          </w:p>
        </w:tc>
        <w:tc>
          <w:tcPr>
            <w:tcW w:w="1290" w:type="dxa"/>
            <w:vMerge w:val="restart"/>
            <w:vAlign w:val="center"/>
          </w:tcPr>
          <w:p w14:paraId="3108D3AD">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游泳馆全馆</w:t>
            </w:r>
          </w:p>
          <w:p w14:paraId="70215347">
            <w:pPr>
              <w:spacing w:line="360" w:lineRule="auto"/>
              <w:jc w:val="center"/>
              <w:rPr>
                <w:rFonts w:hint="eastAsia"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4219m²</w:t>
            </w:r>
          </w:p>
        </w:tc>
        <w:tc>
          <w:tcPr>
            <w:tcW w:w="1650" w:type="dxa"/>
            <w:shd w:val="clear" w:color="auto" w:fill="auto"/>
            <w:vAlign w:val="center"/>
          </w:tcPr>
          <w:p w14:paraId="432DC975">
            <w:pPr>
              <w:spacing w:line="360" w:lineRule="auto"/>
              <w:jc w:val="center"/>
              <w:rPr>
                <w:rFonts w:hint="default"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游泳馆</w:t>
            </w:r>
          </w:p>
        </w:tc>
        <w:tc>
          <w:tcPr>
            <w:tcW w:w="1305" w:type="dxa"/>
            <w:shd w:val="clear" w:color="auto" w:fill="auto"/>
            <w:vAlign w:val="center"/>
          </w:tcPr>
          <w:p w14:paraId="0C9B4E4C">
            <w:pPr>
              <w:spacing w:line="360" w:lineRule="auto"/>
              <w:jc w:val="center"/>
              <w:rPr>
                <w:rFonts w:hint="default"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2300</w:t>
            </w:r>
          </w:p>
        </w:tc>
        <w:tc>
          <w:tcPr>
            <w:tcW w:w="1080" w:type="dxa"/>
            <w:vMerge w:val="restart"/>
          </w:tcPr>
          <w:p w14:paraId="68BB303E">
            <w:pPr>
              <w:spacing w:line="360" w:lineRule="auto"/>
              <w:jc w:val="center"/>
              <w:rPr>
                <w:rFonts w:hint="eastAsia" w:ascii="仿宋_GB2312" w:hAnsi="仿宋_GB2312" w:eastAsia="仿宋_GB2312" w:cs="Times New Roman"/>
                <w:sz w:val="21"/>
                <w:szCs w:val="21"/>
                <w:lang w:val="en-US" w:eastAsia="zh-CN"/>
              </w:rPr>
            </w:pPr>
          </w:p>
        </w:tc>
        <w:tc>
          <w:tcPr>
            <w:tcW w:w="1365" w:type="dxa"/>
            <w:vMerge w:val="restart"/>
          </w:tcPr>
          <w:p w14:paraId="49F010F9">
            <w:pPr>
              <w:spacing w:line="360" w:lineRule="auto"/>
              <w:jc w:val="center"/>
              <w:rPr>
                <w:rFonts w:hint="eastAsia" w:ascii="仿宋_GB2312" w:hAnsi="仿宋_GB2312" w:eastAsia="仿宋_GB2312" w:cs="Times New Roman"/>
                <w:sz w:val="21"/>
                <w:szCs w:val="21"/>
                <w:lang w:val="en-US" w:eastAsia="zh-CN"/>
              </w:rPr>
            </w:pPr>
          </w:p>
        </w:tc>
        <w:tc>
          <w:tcPr>
            <w:tcW w:w="840" w:type="dxa"/>
            <w:vMerge w:val="restart"/>
          </w:tcPr>
          <w:p w14:paraId="3E516F74">
            <w:pPr>
              <w:spacing w:line="360" w:lineRule="auto"/>
              <w:jc w:val="center"/>
              <w:rPr>
                <w:rFonts w:hint="eastAsia" w:ascii="仿宋_GB2312" w:hAnsi="仿宋_GB2312" w:eastAsia="仿宋_GB2312" w:cs="Times New Roman"/>
                <w:sz w:val="21"/>
                <w:szCs w:val="21"/>
                <w:lang w:val="en-US" w:eastAsia="zh-CN"/>
              </w:rPr>
            </w:pPr>
          </w:p>
        </w:tc>
        <w:tc>
          <w:tcPr>
            <w:tcW w:w="840" w:type="dxa"/>
            <w:vMerge w:val="restart"/>
            <w:vAlign w:val="center"/>
          </w:tcPr>
          <w:p w14:paraId="0DF71173">
            <w:pPr>
              <w:spacing w:line="360" w:lineRule="auto"/>
              <w:jc w:val="center"/>
              <w:rPr>
                <w:rFonts w:hint="default" w:ascii="仿宋_GB2312" w:hAnsi="仿宋_GB2312" w:eastAsia="仿宋_GB2312" w:cs="Times New Roman"/>
                <w:sz w:val="21"/>
                <w:szCs w:val="21"/>
                <w:lang w:val="en-US" w:eastAsia="zh-CN"/>
              </w:rPr>
            </w:pPr>
            <w:r>
              <w:rPr>
                <w:rFonts w:hint="eastAsia" w:ascii="仿宋_GB2312" w:hAnsi="仿宋_GB2312" w:eastAsia="仿宋_GB2312" w:cs="Times New Roman"/>
                <w:b/>
                <w:bCs/>
                <w:sz w:val="21"/>
                <w:szCs w:val="21"/>
                <w:lang w:val="en-US" w:eastAsia="zh-CN"/>
              </w:rPr>
              <w:t>保单3</w:t>
            </w:r>
          </w:p>
        </w:tc>
        <w:tc>
          <w:tcPr>
            <w:tcW w:w="900" w:type="dxa"/>
            <w:vMerge w:val="restart"/>
          </w:tcPr>
          <w:p w14:paraId="36327BF9">
            <w:pPr>
              <w:spacing w:line="360" w:lineRule="auto"/>
              <w:jc w:val="center"/>
              <w:rPr>
                <w:rFonts w:hint="eastAsia" w:ascii="仿宋_GB2312" w:hAnsi="仿宋_GB2312" w:eastAsia="仿宋_GB2312" w:cs="Times New Roman"/>
                <w:sz w:val="21"/>
                <w:szCs w:val="21"/>
                <w:lang w:val="en-US" w:eastAsia="zh-CN"/>
              </w:rPr>
            </w:pPr>
          </w:p>
        </w:tc>
      </w:tr>
      <w:tr w14:paraId="3A83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89" w:type="dxa"/>
            <w:vMerge w:val="continue"/>
          </w:tcPr>
          <w:p w14:paraId="6C7F7498">
            <w:pPr>
              <w:spacing w:line="360" w:lineRule="auto"/>
              <w:jc w:val="center"/>
              <w:rPr>
                <w:rFonts w:hint="eastAsia" w:ascii="仿宋_GB2312" w:hAnsi="仿宋_GB2312" w:eastAsia="仿宋_GB2312" w:cs="Times New Roman"/>
                <w:sz w:val="21"/>
                <w:szCs w:val="21"/>
                <w:lang w:val="en-US" w:eastAsia="zh-CN"/>
              </w:rPr>
            </w:pPr>
          </w:p>
        </w:tc>
        <w:tc>
          <w:tcPr>
            <w:tcW w:w="1290" w:type="dxa"/>
            <w:vMerge w:val="continue"/>
          </w:tcPr>
          <w:p w14:paraId="435B894A">
            <w:pPr>
              <w:spacing w:line="360" w:lineRule="auto"/>
              <w:jc w:val="center"/>
              <w:rPr>
                <w:rFonts w:hint="eastAsia" w:ascii="仿宋_GB2312" w:hAnsi="仿宋_GB2312" w:eastAsia="仿宋_GB2312" w:cs="Times New Roman"/>
                <w:sz w:val="21"/>
                <w:szCs w:val="21"/>
                <w:lang w:val="en-US" w:eastAsia="zh-CN"/>
              </w:rPr>
            </w:pPr>
          </w:p>
        </w:tc>
        <w:tc>
          <w:tcPr>
            <w:tcW w:w="1650" w:type="dxa"/>
            <w:shd w:val="clear" w:color="auto" w:fill="auto"/>
            <w:vAlign w:val="center"/>
          </w:tcPr>
          <w:p w14:paraId="3A60D26E">
            <w:pPr>
              <w:spacing w:line="360" w:lineRule="auto"/>
              <w:jc w:val="center"/>
              <w:rPr>
                <w:rFonts w:hint="default" w:ascii="仿宋_GB2312" w:hAnsi="仿宋_GB2312" w:eastAsia="仿宋_GB2312" w:cs="Times New Roman"/>
                <w:sz w:val="18"/>
                <w:szCs w:val="18"/>
                <w:lang w:val="en-US" w:eastAsia="zh-CN"/>
              </w:rPr>
            </w:pPr>
            <w:r>
              <w:rPr>
                <w:rFonts w:hint="default" w:ascii="仿宋_GB2312" w:hAnsi="仿宋_GB2312" w:eastAsia="仿宋_GB2312" w:cs="Times New Roman"/>
                <w:sz w:val="18"/>
                <w:szCs w:val="18"/>
                <w:lang w:val="en-US" w:eastAsia="zh-CN"/>
              </w:rPr>
              <w:t>大厅等公共区域及附属用房</w:t>
            </w:r>
          </w:p>
        </w:tc>
        <w:tc>
          <w:tcPr>
            <w:tcW w:w="1305" w:type="dxa"/>
            <w:shd w:val="clear" w:color="auto" w:fill="auto"/>
            <w:vAlign w:val="center"/>
          </w:tcPr>
          <w:p w14:paraId="592ED327">
            <w:pPr>
              <w:spacing w:line="360" w:lineRule="auto"/>
              <w:jc w:val="center"/>
              <w:rPr>
                <w:rFonts w:hint="default" w:ascii="仿宋_GB2312" w:hAnsi="仿宋_GB2312" w:eastAsia="仿宋_GB2312" w:cs="Times New Roman"/>
                <w:sz w:val="18"/>
                <w:szCs w:val="18"/>
                <w:lang w:val="en-US" w:eastAsia="zh-CN"/>
              </w:rPr>
            </w:pPr>
            <w:r>
              <w:rPr>
                <w:rFonts w:hint="eastAsia" w:ascii="仿宋_GB2312" w:hAnsi="仿宋_GB2312" w:eastAsia="仿宋_GB2312" w:cs="Times New Roman"/>
                <w:sz w:val="18"/>
                <w:szCs w:val="18"/>
                <w:lang w:val="en-US" w:eastAsia="zh-CN"/>
              </w:rPr>
              <w:t>1919</w:t>
            </w:r>
          </w:p>
        </w:tc>
        <w:tc>
          <w:tcPr>
            <w:tcW w:w="1080" w:type="dxa"/>
            <w:vMerge w:val="continue"/>
          </w:tcPr>
          <w:p w14:paraId="05C3C73F">
            <w:pPr>
              <w:spacing w:line="360" w:lineRule="auto"/>
              <w:jc w:val="center"/>
              <w:rPr>
                <w:rFonts w:hint="eastAsia" w:ascii="仿宋_GB2312" w:hAnsi="仿宋_GB2312" w:eastAsia="仿宋_GB2312" w:cs="Times New Roman"/>
                <w:sz w:val="21"/>
                <w:szCs w:val="21"/>
                <w:lang w:val="en-US" w:eastAsia="zh-CN"/>
              </w:rPr>
            </w:pPr>
          </w:p>
        </w:tc>
        <w:tc>
          <w:tcPr>
            <w:tcW w:w="1365" w:type="dxa"/>
            <w:vMerge w:val="continue"/>
          </w:tcPr>
          <w:p w14:paraId="7343CE6A">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1358027F">
            <w:pPr>
              <w:spacing w:line="360" w:lineRule="auto"/>
              <w:jc w:val="center"/>
              <w:rPr>
                <w:rFonts w:hint="eastAsia" w:ascii="仿宋_GB2312" w:hAnsi="仿宋_GB2312" w:eastAsia="仿宋_GB2312" w:cs="Times New Roman"/>
                <w:sz w:val="21"/>
                <w:szCs w:val="21"/>
                <w:lang w:val="en-US" w:eastAsia="zh-CN"/>
              </w:rPr>
            </w:pPr>
          </w:p>
        </w:tc>
        <w:tc>
          <w:tcPr>
            <w:tcW w:w="840" w:type="dxa"/>
            <w:vMerge w:val="continue"/>
          </w:tcPr>
          <w:p w14:paraId="1BCE6ED6">
            <w:pPr>
              <w:spacing w:line="360" w:lineRule="auto"/>
              <w:jc w:val="center"/>
              <w:rPr>
                <w:rFonts w:hint="eastAsia" w:ascii="仿宋_GB2312" w:hAnsi="仿宋_GB2312" w:eastAsia="仿宋_GB2312" w:cs="Times New Roman"/>
                <w:sz w:val="21"/>
                <w:szCs w:val="21"/>
                <w:lang w:val="en-US" w:eastAsia="zh-CN"/>
              </w:rPr>
            </w:pPr>
          </w:p>
        </w:tc>
        <w:tc>
          <w:tcPr>
            <w:tcW w:w="900" w:type="dxa"/>
            <w:vMerge w:val="continue"/>
          </w:tcPr>
          <w:p w14:paraId="7B0DFB5F">
            <w:pPr>
              <w:spacing w:line="360" w:lineRule="auto"/>
              <w:jc w:val="center"/>
              <w:rPr>
                <w:rFonts w:hint="eastAsia" w:ascii="仿宋_GB2312" w:hAnsi="仿宋_GB2312" w:eastAsia="仿宋_GB2312" w:cs="Times New Roman"/>
                <w:sz w:val="21"/>
                <w:szCs w:val="21"/>
                <w:lang w:val="en-US" w:eastAsia="zh-CN"/>
              </w:rPr>
            </w:pPr>
          </w:p>
        </w:tc>
      </w:tr>
      <w:tr w14:paraId="59A7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59" w:type="dxa"/>
            <w:gridSpan w:val="8"/>
            <w:vAlign w:val="center"/>
          </w:tcPr>
          <w:p w14:paraId="6FB0DED6">
            <w:pPr>
              <w:spacing w:line="360" w:lineRule="auto"/>
              <w:jc w:val="left"/>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b/>
                <w:bCs/>
                <w:sz w:val="21"/>
                <w:szCs w:val="21"/>
                <w:lang w:val="en-US" w:eastAsia="zh-CN"/>
              </w:rPr>
              <w:t>3份保单合计总保费（元）：</w:t>
            </w:r>
          </w:p>
        </w:tc>
        <w:tc>
          <w:tcPr>
            <w:tcW w:w="900" w:type="dxa"/>
          </w:tcPr>
          <w:p w14:paraId="1712C3D6">
            <w:pPr>
              <w:spacing w:line="360" w:lineRule="auto"/>
              <w:jc w:val="center"/>
              <w:rPr>
                <w:rFonts w:hint="eastAsia" w:ascii="仿宋_GB2312" w:hAnsi="仿宋_GB2312" w:eastAsia="仿宋_GB2312" w:cs="Times New Roman"/>
                <w:sz w:val="21"/>
                <w:szCs w:val="21"/>
                <w:lang w:val="en-US" w:eastAsia="zh-CN"/>
              </w:rPr>
            </w:pPr>
          </w:p>
        </w:tc>
      </w:tr>
    </w:tbl>
    <w:p w14:paraId="5D528DCD">
      <w:pPr>
        <w:spacing w:line="276" w:lineRule="auto"/>
        <w:rPr>
          <w:rFonts w:ascii="仿宋_GB2312" w:hAnsi="仿宋_GB2312" w:eastAsia="仿宋_GB2312"/>
          <w:sz w:val="24"/>
        </w:rPr>
      </w:pPr>
    </w:p>
    <w:p w14:paraId="2EDD24EB">
      <w:pPr>
        <w:spacing w:line="276" w:lineRule="auto"/>
        <w:rPr>
          <w:rFonts w:ascii="仿宋_GB2312" w:hAnsi="仿宋_GB2312" w:eastAsia="仿宋_GB2312"/>
          <w:sz w:val="24"/>
        </w:rPr>
      </w:pPr>
    </w:p>
    <w:p w14:paraId="74DE1B9E">
      <w:pPr>
        <w:spacing w:line="276" w:lineRule="auto"/>
        <w:rPr>
          <w:rFonts w:ascii="仿宋_GB2312" w:hAnsi="仿宋_GB2312" w:eastAsia="仿宋_GB2312"/>
          <w:sz w:val="24"/>
        </w:rPr>
      </w:pPr>
    </w:p>
    <w:p w14:paraId="07D66AD9">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47CDB06B">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38F5CB71">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488A8E55">
      <w:pPr>
        <w:widowControl/>
        <w:tabs>
          <w:tab w:val="left" w:pos="10260"/>
        </w:tabs>
        <w:ind w:left="359" w:leftChars="171"/>
        <w:rPr>
          <w:rFonts w:ascii="仿宋_GB2312" w:hAnsi="仿宋_GB2312" w:eastAsia="仿宋_GB2312" w:cs="宋体"/>
          <w:b/>
          <w:bCs/>
          <w:kern w:val="0"/>
          <w:sz w:val="24"/>
        </w:rPr>
      </w:pPr>
    </w:p>
    <w:p w14:paraId="40292A3A">
      <w:pPr>
        <w:spacing w:line="276" w:lineRule="auto"/>
        <w:rPr>
          <w:rFonts w:hint="eastAsia" w:ascii="仿宋_GB2312" w:hAnsi="仿宋_GB2312" w:eastAsia="仿宋_GB2312"/>
          <w:sz w:val="24"/>
        </w:rPr>
      </w:pPr>
    </w:p>
    <w:p w14:paraId="04E833C6">
      <w:pPr>
        <w:spacing w:line="276" w:lineRule="auto"/>
        <w:rPr>
          <w:rFonts w:hint="eastAsia" w:ascii="仿宋_GB2312" w:hAnsi="仿宋_GB2312" w:eastAsia="仿宋_GB2312"/>
          <w:sz w:val="24"/>
        </w:rPr>
      </w:pPr>
    </w:p>
    <w:p w14:paraId="1C4C8DC9">
      <w:pPr>
        <w:spacing w:line="276" w:lineRule="auto"/>
        <w:rPr>
          <w:rFonts w:hint="eastAsia" w:ascii="仿宋_GB2312" w:hAnsi="仿宋_GB2312" w:eastAsia="仿宋_GB2312"/>
          <w:sz w:val="24"/>
        </w:rPr>
      </w:pPr>
    </w:p>
    <w:p w14:paraId="079E801F">
      <w:pPr>
        <w:spacing w:line="276" w:lineRule="auto"/>
        <w:rPr>
          <w:rFonts w:hint="eastAsia" w:ascii="仿宋_GB2312" w:hAnsi="仿宋_GB2312" w:eastAsia="仿宋_GB2312"/>
          <w:sz w:val="24"/>
        </w:rPr>
      </w:pPr>
    </w:p>
    <w:p w14:paraId="606A6E2D">
      <w:pPr>
        <w:spacing w:line="276" w:lineRule="auto"/>
        <w:rPr>
          <w:rFonts w:hint="eastAsia" w:ascii="仿宋_GB2312" w:hAnsi="仿宋_GB2312" w:eastAsia="仿宋_GB2312"/>
          <w:sz w:val="24"/>
        </w:rPr>
      </w:pPr>
      <w:r>
        <w:rPr>
          <w:rFonts w:hint="eastAsia" w:ascii="仿宋_GB2312" w:hAnsi="仿宋_GB2312" w:eastAsia="仿宋_GB2312"/>
          <w:sz w:val="24"/>
        </w:rPr>
        <w:t>注：</w:t>
      </w:r>
    </w:p>
    <w:p w14:paraId="6E11A051">
      <w:pPr>
        <w:spacing w:line="276" w:lineRule="auto"/>
        <w:rPr>
          <w:rFonts w:hint="eastAsia" w:ascii="仿宋_GB2312" w:hAnsi="仿宋_GB2312" w:eastAsia="仿宋_GB2312"/>
          <w:sz w:val="24"/>
        </w:rPr>
      </w:pPr>
      <w:r>
        <w:rPr>
          <w:rFonts w:hint="eastAsia" w:ascii="仿宋_GB2312" w:hAnsi="仿宋_GB2312" w:eastAsia="仿宋_GB2312"/>
          <w:sz w:val="24"/>
        </w:rPr>
        <w:t>(1)供应商</w:t>
      </w:r>
      <w:r>
        <w:rPr>
          <w:rFonts w:hint="eastAsia" w:ascii="仿宋_GB2312" w:hAnsi="仿宋_GB2312" w:eastAsia="仿宋_GB2312"/>
          <w:sz w:val="24"/>
          <w:lang w:val="en-US" w:eastAsia="zh-CN"/>
        </w:rPr>
        <w:t>可</w:t>
      </w:r>
      <w:r>
        <w:rPr>
          <w:rFonts w:hint="eastAsia" w:ascii="仿宋_GB2312" w:hAnsi="仿宋_GB2312" w:eastAsia="仿宋_GB2312"/>
          <w:sz w:val="24"/>
        </w:rPr>
        <w:t>自行添加</w:t>
      </w:r>
      <w:r>
        <w:rPr>
          <w:rFonts w:hint="eastAsia" w:ascii="仿宋_GB2312" w:hAnsi="仿宋_GB2312" w:eastAsia="仿宋_GB2312"/>
          <w:sz w:val="24"/>
          <w:lang w:val="en-US" w:eastAsia="zh-CN"/>
        </w:rPr>
        <w:t>/修改</w:t>
      </w:r>
      <w:r>
        <w:rPr>
          <w:rFonts w:hint="eastAsia" w:ascii="仿宋_GB2312" w:hAnsi="仿宋_GB2312" w:eastAsia="仿宋_GB2312"/>
          <w:sz w:val="24"/>
        </w:rPr>
        <w:t>报价明细表，</w:t>
      </w:r>
      <w:r>
        <w:rPr>
          <w:rFonts w:hint="eastAsia" w:ascii="仿宋_GB2312" w:hAnsi="仿宋_GB2312" w:eastAsia="仿宋_GB2312"/>
          <w:sz w:val="24"/>
          <w:lang w:val="en-US" w:eastAsia="zh-CN"/>
        </w:rPr>
        <w:t>但务必</w:t>
      </w:r>
      <w:r>
        <w:rPr>
          <w:rFonts w:hint="eastAsia" w:ascii="仿宋_GB2312" w:hAnsi="仿宋_GB2312" w:eastAsia="仿宋_GB2312"/>
          <w:sz w:val="24"/>
        </w:rPr>
        <w:t>明确价格组成；</w:t>
      </w:r>
    </w:p>
    <w:p w14:paraId="354039D0">
      <w:pPr>
        <w:spacing w:line="276" w:lineRule="auto"/>
        <w:rPr>
          <w:rFonts w:hint="eastAsia" w:ascii="仿宋_GB2312" w:hAnsi="仿宋_GB2312" w:eastAsia="仿宋_GB2312"/>
          <w:sz w:val="24"/>
        </w:rPr>
      </w:pPr>
      <w:r>
        <w:rPr>
          <w:rFonts w:hint="eastAsia" w:ascii="仿宋_GB2312" w:hAnsi="仿宋_GB2312" w:eastAsia="仿宋_GB2312"/>
          <w:sz w:val="24"/>
        </w:rPr>
        <w:t>(2)报价明细表须包括但不限于产品清单中各分项详细报价。</w:t>
      </w:r>
    </w:p>
    <w:p w14:paraId="530A3B3A">
      <w:pPr>
        <w:widowControl/>
        <w:snapToGrid w:val="0"/>
        <w:spacing w:line="288" w:lineRule="auto"/>
        <w:ind w:left="376"/>
        <w:jc w:val="center"/>
        <w:rPr>
          <w:rFonts w:hint="eastAsia" w:eastAsia="黑体" w:cs="Calibri"/>
          <w:sz w:val="32"/>
          <w:szCs w:val="32"/>
          <w:lang w:val="en-US" w:eastAsia="zh-CN"/>
        </w:rPr>
      </w:pPr>
      <w:r>
        <w:rPr>
          <w:rFonts w:ascii="仿宋_GB2312" w:hAnsi="仿宋_GB2312" w:eastAsia="仿宋_GB2312" w:cs="宋体"/>
          <w:b/>
          <w:bCs/>
          <w:kern w:val="0"/>
          <w:sz w:val="24"/>
        </w:rPr>
        <w:br w:type="page"/>
      </w:r>
      <w:r>
        <w:rPr>
          <w:rFonts w:hint="eastAsia" w:ascii="仿宋_GB2312" w:hAnsi="仿宋_GB2312" w:eastAsia="仿宋_GB2312" w:cs="Times New Roman"/>
          <w:b/>
          <w:bCs/>
          <w:sz w:val="36"/>
          <w:lang w:val="en-US" w:eastAsia="zh-CN"/>
        </w:rPr>
        <w:t>应答文件</w:t>
      </w:r>
    </w:p>
    <w:p w14:paraId="6AB503EA">
      <w:pPr>
        <w:spacing w:line="440" w:lineRule="exact"/>
        <w:jc w:val="left"/>
        <w:rPr>
          <w:rFonts w:hint="eastAsia" w:eastAsia="黑体" w:cs="Calibri"/>
          <w:sz w:val="32"/>
          <w:szCs w:val="32"/>
          <w:lang w:val="en-US" w:eastAsia="zh-CN"/>
        </w:rPr>
      </w:pPr>
    </w:p>
    <w:p w14:paraId="5926623B">
      <w:pPr>
        <w:spacing w:line="440" w:lineRule="exact"/>
        <w:jc w:val="left"/>
        <w:rPr>
          <w:rFonts w:hint="eastAsia" w:ascii="仿宋" w:hAnsi="仿宋" w:eastAsia="仿宋" w:cs="仿宋"/>
          <w:b/>
          <w:bCs/>
          <w:sz w:val="28"/>
          <w:szCs w:val="28"/>
        </w:rPr>
      </w:pPr>
    </w:p>
    <w:p w14:paraId="5A2E4F42">
      <w:pPr>
        <w:widowControl/>
        <w:snapToGrid w:val="0"/>
        <w:spacing w:line="276" w:lineRule="auto"/>
        <w:ind w:left="374" w:firstLine="480"/>
        <w:rPr>
          <w:rFonts w:hint="eastAsia" w:ascii="仿宋_GB2312" w:hAnsi="仿宋_GB2312" w:eastAsia="仿宋_GB2312" w:cs="Times New Roman"/>
          <w:sz w:val="24"/>
          <w:szCs w:val="28"/>
        </w:rPr>
      </w:pPr>
      <w:r>
        <w:rPr>
          <w:rFonts w:hint="eastAsia" w:ascii="仿宋_GB2312" w:hAnsi="仿宋_GB2312" w:eastAsia="仿宋_GB2312" w:cs="Times New Roman"/>
          <w:sz w:val="24"/>
          <w:szCs w:val="28"/>
        </w:rPr>
        <w:t>如果</w:t>
      </w:r>
      <w:r>
        <w:rPr>
          <w:rFonts w:hint="eastAsia" w:ascii="仿宋_GB2312" w:hAnsi="仿宋_GB2312" w:eastAsia="仿宋_GB2312" w:cs="Times New Roman"/>
          <w:sz w:val="24"/>
          <w:szCs w:val="28"/>
          <w:lang w:val="en-US" w:eastAsia="zh-CN"/>
        </w:rPr>
        <w:t>保险方案的指标优</w:t>
      </w:r>
      <w:r>
        <w:rPr>
          <w:rFonts w:hint="eastAsia" w:ascii="仿宋_GB2312" w:hAnsi="仿宋_GB2312" w:eastAsia="仿宋_GB2312" w:cs="Times New Roman"/>
          <w:sz w:val="24"/>
          <w:szCs w:val="28"/>
        </w:rPr>
        <w:t>于</w:t>
      </w:r>
      <w:r>
        <w:rPr>
          <w:rFonts w:hint="eastAsia" w:ascii="仿宋_GB2312" w:hAnsi="仿宋_GB2312" w:eastAsia="仿宋_GB2312" w:cs="Times New Roman"/>
          <w:sz w:val="24"/>
          <w:szCs w:val="28"/>
          <w:lang w:val="en-US" w:eastAsia="zh-CN"/>
        </w:rPr>
        <w:t>项目</w:t>
      </w:r>
      <w:r>
        <w:rPr>
          <w:rFonts w:hint="eastAsia" w:ascii="仿宋_GB2312" w:hAnsi="仿宋_GB2312" w:eastAsia="仿宋_GB2312" w:cs="Times New Roman"/>
          <w:sz w:val="24"/>
          <w:szCs w:val="28"/>
        </w:rPr>
        <w:t>指标，或愿意提供附加的增值服务，务必明显标注说明。</w:t>
      </w:r>
    </w:p>
    <w:p w14:paraId="5DE600A0">
      <w:pPr>
        <w:widowControl/>
        <w:tabs>
          <w:tab w:val="left" w:pos="10260"/>
        </w:tabs>
        <w:rPr>
          <w:rFonts w:ascii="仿宋_GB2312" w:hAnsi="仿宋_GB2312" w:eastAsia="仿宋_GB2312" w:cs="宋体"/>
          <w:b/>
          <w:bCs/>
          <w:kern w:val="0"/>
          <w:sz w:val="24"/>
        </w:rPr>
      </w:pPr>
    </w:p>
    <w:p w14:paraId="464C59EC">
      <w:pPr>
        <w:widowControl/>
        <w:tabs>
          <w:tab w:val="left" w:pos="10260"/>
        </w:tabs>
        <w:rPr>
          <w:rFonts w:ascii="仿宋_GB2312" w:hAnsi="仿宋_GB2312" w:eastAsia="仿宋_GB2312" w:cs="宋体"/>
          <w:b/>
          <w:bCs/>
          <w:kern w:val="0"/>
          <w:sz w:val="24"/>
        </w:rPr>
      </w:pPr>
    </w:p>
    <w:p w14:paraId="51F5589F">
      <w:pPr>
        <w:widowControl/>
        <w:tabs>
          <w:tab w:val="left" w:pos="10260"/>
        </w:tabs>
        <w:rPr>
          <w:rFonts w:ascii="仿宋_GB2312" w:hAnsi="仿宋_GB2312" w:eastAsia="仿宋_GB2312" w:cs="宋体"/>
          <w:b/>
          <w:bCs/>
          <w:kern w:val="0"/>
          <w:sz w:val="24"/>
        </w:rPr>
      </w:pPr>
    </w:p>
    <w:p w14:paraId="64B8D9ED">
      <w:pPr>
        <w:widowControl/>
        <w:tabs>
          <w:tab w:val="left" w:pos="10260"/>
        </w:tabs>
        <w:rPr>
          <w:rFonts w:ascii="仿宋_GB2312" w:hAnsi="仿宋_GB2312" w:eastAsia="仿宋_GB2312" w:cs="宋体"/>
          <w:b/>
          <w:bCs/>
          <w:kern w:val="0"/>
          <w:sz w:val="24"/>
        </w:rPr>
      </w:pPr>
    </w:p>
    <w:p w14:paraId="5143B736">
      <w:pPr>
        <w:widowControl/>
        <w:tabs>
          <w:tab w:val="left" w:pos="10260"/>
        </w:tabs>
        <w:rPr>
          <w:rFonts w:ascii="仿宋_GB2312" w:hAnsi="仿宋_GB2312" w:eastAsia="仿宋_GB2312" w:cs="宋体"/>
          <w:b/>
          <w:bCs/>
          <w:kern w:val="0"/>
          <w:sz w:val="24"/>
        </w:rPr>
      </w:pPr>
    </w:p>
    <w:p w14:paraId="745A6136">
      <w:pPr>
        <w:widowControl/>
        <w:tabs>
          <w:tab w:val="left" w:pos="10260"/>
        </w:tabs>
        <w:rPr>
          <w:rFonts w:ascii="仿宋_GB2312" w:hAnsi="仿宋_GB2312" w:eastAsia="仿宋_GB2312" w:cs="宋体"/>
          <w:b/>
          <w:bCs/>
          <w:kern w:val="0"/>
          <w:sz w:val="24"/>
        </w:rPr>
      </w:pPr>
    </w:p>
    <w:p w14:paraId="6A848DD1">
      <w:pPr>
        <w:widowControl/>
        <w:tabs>
          <w:tab w:val="left" w:pos="10260"/>
        </w:tabs>
        <w:rPr>
          <w:rFonts w:ascii="仿宋_GB2312" w:hAnsi="仿宋_GB2312" w:eastAsia="仿宋_GB2312" w:cs="宋体"/>
          <w:b/>
          <w:bCs/>
          <w:kern w:val="0"/>
          <w:sz w:val="24"/>
        </w:rPr>
      </w:pPr>
    </w:p>
    <w:p w14:paraId="25A12A90">
      <w:pPr>
        <w:widowControl/>
        <w:tabs>
          <w:tab w:val="left" w:pos="10260"/>
        </w:tabs>
        <w:rPr>
          <w:rFonts w:ascii="仿宋_GB2312" w:hAnsi="仿宋_GB2312" w:eastAsia="仿宋_GB2312" w:cs="宋体"/>
          <w:b/>
          <w:bCs/>
          <w:kern w:val="0"/>
          <w:sz w:val="24"/>
        </w:rPr>
      </w:pPr>
    </w:p>
    <w:p w14:paraId="4AEA015D">
      <w:pPr>
        <w:widowControl/>
        <w:tabs>
          <w:tab w:val="left" w:pos="10260"/>
        </w:tabs>
        <w:rPr>
          <w:rFonts w:ascii="仿宋_GB2312" w:hAnsi="仿宋_GB2312" w:eastAsia="仿宋_GB2312" w:cs="宋体"/>
          <w:b/>
          <w:bCs/>
          <w:kern w:val="0"/>
          <w:sz w:val="24"/>
        </w:rPr>
      </w:pPr>
    </w:p>
    <w:p w14:paraId="18BE1E7A">
      <w:pPr>
        <w:widowControl/>
        <w:tabs>
          <w:tab w:val="left" w:pos="10260"/>
        </w:tabs>
        <w:rPr>
          <w:rFonts w:ascii="仿宋_GB2312" w:hAnsi="仿宋_GB2312" w:eastAsia="仿宋_GB2312" w:cs="宋体"/>
          <w:b/>
          <w:bCs/>
          <w:kern w:val="0"/>
          <w:sz w:val="24"/>
        </w:rPr>
      </w:pPr>
    </w:p>
    <w:p w14:paraId="75382558">
      <w:pPr>
        <w:widowControl/>
        <w:tabs>
          <w:tab w:val="left" w:pos="10260"/>
        </w:tabs>
        <w:rPr>
          <w:rFonts w:ascii="仿宋_GB2312" w:hAnsi="仿宋_GB2312" w:eastAsia="仿宋_GB2312" w:cs="宋体"/>
          <w:b/>
          <w:bCs/>
          <w:kern w:val="0"/>
          <w:sz w:val="24"/>
        </w:rPr>
      </w:pPr>
    </w:p>
    <w:p w14:paraId="280D0E58">
      <w:pPr>
        <w:widowControl/>
        <w:tabs>
          <w:tab w:val="left" w:pos="10260"/>
        </w:tabs>
        <w:rPr>
          <w:rFonts w:ascii="仿宋_GB2312" w:hAnsi="仿宋_GB2312" w:eastAsia="仿宋_GB2312" w:cs="宋体"/>
          <w:b/>
          <w:bCs/>
          <w:kern w:val="0"/>
          <w:sz w:val="24"/>
        </w:rPr>
      </w:pPr>
    </w:p>
    <w:p w14:paraId="37D359A3">
      <w:pPr>
        <w:widowControl/>
        <w:tabs>
          <w:tab w:val="left" w:pos="10260"/>
        </w:tabs>
        <w:rPr>
          <w:rFonts w:ascii="仿宋_GB2312" w:hAnsi="仿宋_GB2312" w:eastAsia="仿宋_GB2312" w:cs="宋体"/>
          <w:b/>
          <w:bCs/>
          <w:kern w:val="0"/>
          <w:sz w:val="24"/>
        </w:rPr>
      </w:pPr>
    </w:p>
    <w:p w14:paraId="2B955A50">
      <w:pPr>
        <w:widowControl/>
        <w:tabs>
          <w:tab w:val="left" w:pos="10260"/>
        </w:tabs>
        <w:rPr>
          <w:rFonts w:ascii="仿宋_GB2312" w:hAnsi="仿宋_GB2312" w:eastAsia="仿宋_GB2312" w:cs="宋体"/>
          <w:b/>
          <w:bCs/>
          <w:kern w:val="0"/>
          <w:sz w:val="24"/>
        </w:rPr>
      </w:pPr>
    </w:p>
    <w:p w14:paraId="0EFD4F6C">
      <w:pPr>
        <w:widowControl/>
        <w:tabs>
          <w:tab w:val="left" w:pos="10260"/>
        </w:tabs>
        <w:rPr>
          <w:rFonts w:ascii="仿宋_GB2312" w:hAnsi="仿宋_GB2312" w:eastAsia="仿宋_GB2312" w:cs="宋体"/>
          <w:b/>
          <w:bCs/>
          <w:kern w:val="0"/>
          <w:sz w:val="24"/>
        </w:rPr>
      </w:pPr>
    </w:p>
    <w:p w14:paraId="1EF15F1F">
      <w:pPr>
        <w:widowControl/>
        <w:tabs>
          <w:tab w:val="left" w:pos="10260"/>
        </w:tabs>
        <w:rPr>
          <w:rFonts w:ascii="仿宋_GB2312" w:hAnsi="仿宋_GB2312" w:eastAsia="仿宋_GB2312" w:cs="宋体"/>
          <w:b/>
          <w:bCs/>
          <w:kern w:val="0"/>
          <w:sz w:val="24"/>
        </w:rPr>
      </w:pPr>
    </w:p>
    <w:p w14:paraId="2F4E2DC9">
      <w:pPr>
        <w:widowControl/>
        <w:tabs>
          <w:tab w:val="left" w:pos="10260"/>
        </w:tabs>
        <w:rPr>
          <w:rFonts w:ascii="仿宋_GB2312" w:hAnsi="仿宋_GB2312" w:eastAsia="仿宋_GB2312" w:cs="宋体"/>
          <w:b/>
          <w:bCs/>
          <w:kern w:val="0"/>
          <w:sz w:val="24"/>
        </w:rPr>
      </w:pPr>
    </w:p>
    <w:p w14:paraId="31E1DADC">
      <w:pPr>
        <w:widowControl/>
        <w:tabs>
          <w:tab w:val="left" w:pos="10260"/>
        </w:tabs>
        <w:rPr>
          <w:rFonts w:ascii="仿宋_GB2312" w:hAnsi="仿宋_GB2312" w:eastAsia="仿宋_GB2312" w:cs="宋体"/>
          <w:b/>
          <w:bCs/>
          <w:kern w:val="0"/>
          <w:sz w:val="24"/>
        </w:rPr>
      </w:pPr>
    </w:p>
    <w:p w14:paraId="52577C76">
      <w:pPr>
        <w:widowControl/>
        <w:tabs>
          <w:tab w:val="left" w:pos="10260"/>
        </w:tabs>
        <w:rPr>
          <w:rFonts w:ascii="仿宋_GB2312" w:hAnsi="仿宋_GB2312" w:eastAsia="仿宋_GB2312" w:cs="宋体"/>
          <w:b/>
          <w:bCs/>
          <w:kern w:val="0"/>
          <w:sz w:val="24"/>
        </w:rPr>
      </w:pPr>
    </w:p>
    <w:p w14:paraId="4F1E4E05">
      <w:pPr>
        <w:widowControl/>
        <w:tabs>
          <w:tab w:val="left" w:pos="10260"/>
        </w:tabs>
        <w:rPr>
          <w:rFonts w:ascii="仿宋_GB2312" w:hAnsi="仿宋_GB2312" w:eastAsia="仿宋_GB2312" w:cs="宋体"/>
          <w:b/>
          <w:bCs/>
          <w:kern w:val="0"/>
          <w:sz w:val="24"/>
        </w:rPr>
      </w:pPr>
    </w:p>
    <w:p w14:paraId="78F7AD66">
      <w:pPr>
        <w:widowControl/>
        <w:tabs>
          <w:tab w:val="left" w:pos="10260"/>
        </w:tabs>
        <w:rPr>
          <w:rFonts w:ascii="仿宋_GB2312" w:hAnsi="仿宋_GB2312" w:eastAsia="仿宋_GB2312" w:cs="宋体"/>
          <w:b/>
          <w:bCs/>
          <w:kern w:val="0"/>
          <w:sz w:val="24"/>
        </w:rPr>
      </w:pPr>
    </w:p>
    <w:p w14:paraId="40967C21">
      <w:pPr>
        <w:widowControl/>
        <w:tabs>
          <w:tab w:val="left" w:pos="10260"/>
        </w:tabs>
        <w:rPr>
          <w:rFonts w:ascii="仿宋_GB2312" w:hAnsi="仿宋_GB2312" w:eastAsia="仿宋_GB2312" w:cs="宋体"/>
          <w:b/>
          <w:bCs/>
          <w:kern w:val="0"/>
          <w:sz w:val="24"/>
        </w:rPr>
      </w:pPr>
    </w:p>
    <w:p w14:paraId="1D6739AA">
      <w:pPr>
        <w:widowControl/>
        <w:tabs>
          <w:tab w:val="left" w:pos="10260"/>
        </w:tabs>
        <w:rPr>
          <w:rFonts w:ascii="仿宋_GB2312" w:hAnsi="仿宋_GB2312" w:eastAsia="仿宋_GB2312" w:cs="宋体"/>
          <w:b/>
          <w:bCs/>
          <w:kern w:val="0"/>
          <w:sz w:val="24"/>
        </w:rPr>
      </w:pPr>
    </w:p>
    <w:p w14:paraId="0D6B6526">
      <w:pPr>
        <w:widowControl/>
        <w:tabs>
          <w:tab w:val="left" w:pos="10260"/>
        </w:tabs>
        <w:rPr>
          <w:rFonts w:ascii="仿宋_GB2312" w:hAnsi="仿宋_GB2312" w:eastAsia="仿宋_GB2312" w:cs="宋体"/>
          <w:b/>
          <w:bCs/>
          <w:kern w:val="0"/>
          <w:sz w:val="24"/>
        </w:rPr>
      </w:pPr>
    </w:p>
    <w:p w14:paraId="51AC055E">
      <w:pPr>
        <w:widowControl/>
        <w:tabs>
          <w:tab w:val="left" w:pos="10260"/>
        </w:tabs>
        <w:rPr>
          <w:rFonts w:ascii="仿宋_GB2312" w:hAnsi="仿宋_GB2312" w:eastAsia="仿宋_GB2312" w:cs="宋体"/>
          <w:b/>
          <w:bCs/>
          <w:kern w:val="0"/>
          <w:sz w:val="24"/>
        </w:rPr>
      </w:pPr>
    </w:p>
    <w:p w14:paraId="663307EF">
      <w:pPr>
        <w:widowControl/>
        <w:tabs>
          <w:tab w:val="left" w:pos="10260"/>
        </w:tabs>
        <w:rPr>
          <w:rFonts w:ascii="仿宋_GB2312" w:hAnsi="仿宋_GB2312" w:eastAsia="仿宋_GB2312" w:cs="宋体"/>
          <w:b/>
          <w:bCs/>
          <w:kern w:val="0"/>
          <w:sz w:val="24"/>
        </w:rPr>
      </w:pPr>
    </w:p>
    <w:p w14:paraId="3725BA62">
      <w:pPr>
        <w:widowControl/>
        <w:tabs>
          <w:tab w:val="left" w:pos="10260"/>
        </w:tabs>
        <w:rPr>
          <w:rFonts w:ascii="仿宋_GB2312" w:hAnsi="仿宋_GB2312" w:eastAsia="仿宋_GB2312" w:cs="宋体"/>
          <w:b/>
          <w:bCs/>
          <w:kern w:val="0"/>
          <w:sz w:val="24"/>
        </w:rPr>
      </w:pPr>
    </w:p>
    <w:p w14:paraId="4CB038E7">
      <w:pPr>
        <w:widowControl/>
        <w:tabs>
          <w:tab w:val="left" w:pos="10260"/>
        </w:tabs>
        <w:rPr>
          <w:rFonts w:ascii="仿宋_GB2312" w:hAnsi="仿宋_GB2312" w:eastAsia="仿宋_GB2312" w:cs="宋体"/>
          <w:b/>
          <w:bCs/>
          <w:kern w:val="0"/>
          <w:sz w:val="24"/>
        </w:rPr>
      </w:pPr>
    </w:p>
    <w:p w14:paraId="081CB51E">
      <w:pPr>
        <w:widowControl/>
        <w:tabs>
          <w:tab w:val="left" w:pos="10260"/>
        </w:tabs>
        <w:rPr>
          <w:rFonts w:ascii="仿宋_GB2312" w:hAnsi="仿宋_GB2312" w:eastAsia="仿宋_GB2312" w:cs="宋体"/>
          <w:b/>
          <w:bCs/>
          <w:kern w:val="0"/>
          <w:sz w:val="24"/>
        </w:rPr>
      </w:pPr>
    </w:p>
    <w:p w14:paraId="602E39CE">
      <w:pPr>
        <w:widowControl/>
        <w:tabs>
          <w:tab w:val="left" w:pos="10260"/>
        </w:tabs>
        <w:rPr>
          <w:rFonts w:ascii="仿宋_GB2312" w:hAnsi="仿宋_GB2312" w:eastAsia="仿宋_GB2312" w:cs="宋体"/>
          <w:b/>
          <w:bCs/>
          <w:kern w:val="0"/>
          <w:sz w:val="24"/>
        </w:rPr>
      </w:pPr>
    </w:p>
    <w:p w14:paraId="5E22EA33">
      <w:pPr>
        <w:widowControl/>
        <w:tabs>
          <w:tab w:val="left" w:pos="10260"/>
        </w:tabs>
        <w:rPr>
          <w:rFonts w:ascii="仿宋_GB2312" w:hAnsi="仿宋_GB2312" w:eastAsia="仿宋_GB2312" w:cs="宋体"/>
          <w:b/>
          <w:bCs/>
          <w:kern w:val="0"/>
          <w:sz w:val="24"/>
        </w:rPr>
      </w:pPr>
    </w:p>
    <w:p w14:paraId="7332E8BA">
      <w:pPr>
        <w:widowControl/>
        <w:tabs>
          <w:tab w:val="left" w:pos="10260"/>
        </w:tabs>
        <w:rPr>
          <w:rFonts w:ascii="仿宋_GB2312" w:hAnsi="仿宋_GB2312" w:eastAsia="仿宋_GB2312" w:cs="宋体"/>
          <w:b/>
          <w:bCs/>
          <w:kern w:val="0"/>
          <w:sz w:val="24"/>
        </w:rPr>
      </w:pPr>
    </w:p>
    <w:p w14:paraId="50D4E94F">
      <w:pPr>
        <w:widowControl/>
        <w:tabs>
          <w:tab w:val="left" w:pos="10260"/>
        </w:tabs>
        <w:rPr>
          <w:rFonts w:ascii="仿宋_GB2312" w:hAnsi="仿宋_GB2312" w:eastAsia="仿宋_GB2312" w:cs="宋体"/>
          <w:b/>
          <w:bCs/>
          <w:kern w:val="0"/>
          <w:sz w:val="24"/>
        </w:rPr>
      </w:pPr>
    </w:p>
    <w:p w14:paraId="50032EE2">
      <w:pPr>
        <w:widowControl/>
        <w:tabs>
          <w:tab w:val="left" w:pos="10260"/>
        </w:tabs>
        <w:rPr>
          <w:rFonts w:ascii="仿宋_GB2312" w:hAnsi="仿宋_GB2312" w:eastAsia="仿宋_GB2312" w:cs="宋体"/>
          <w:b/>
          <w:bCs/>
          <w:kern w:val="0"/>
          <w:sz w:val="24"/>
        </w:rPr>
      </w:pPr>
    </w:p>
    <w:p w14:paraId="72379C7A">
      <w:pPr>
        <w:widowControl/>
        <w:tabs>
          <w:tab w:val="left" w:pos="10260"/>
        </w:tabs>
        <w:rPr>
          <w:rFonts w:ascii="仿宋_GB2312" w:hAnsi="仿宋_GB2312" w:eastAsia="仿宋_GB2312" w:cs="宋体"/>
          <w:b/>
          <w:bCs/>
          <w:kern w:val="0"/>
          <w:sz w:val="24"/>
        </w:rPr>
      </w:pPr>
    </w:p>
    <w:p w14:paraId="400450B9">
      <w:pPr>
        <w:widowControl/>
        <w:tabs>
          <w:tab w:val="left" w:pos="10260"/>
        </w:tabs>
        <w:rPr>
          <w:rFonts w:ascii="仿宋_GB2312" w:hAnsi="仿宋_GB2312" w:eastAsia="仿宋_GB2312" w:cs="宋体"/>
          <w:b/>
          <w:bCs/>
          <w:kern w:val="0"/>
          <w:sz w:val="24"/>
        </w:rPr>
      </w:pPr>
    </w:p>
    <w:p w14:paraId="69EEF2A3">
      <w:pPr>
        <w:widowControl/>
        <w:tabs>
          <w:tab w:val="left" w:pos="10260"/>
        </w:tabs>
        <w:rPr>
          <w:rFonts w:ascii="仿宋_GB2312" w:hAnsi="仿宋_GB2312" w:eastAsia="仿宋_GB2312" w:cs="宋体"/>
          <w:b/>
          <w:bCs/>
          <w:kern w:val="0"/>
          <w:sz w:val="24"/>
        </w:rPr>
      </w:pPr>
    </w:p>
    <w:p w14:paraId="227B70A8">
      <w:pPr>
        <w:widowControl/>
        <w:tabs>
          <w:tab w:val="left" w:pos="10260"/>
        </w:tabs>
        <w:rPr>
          <w:rFonts w:ascii="仿宋_GB2312" w:hAnsi="仿宋_GB2312" w:eastAsia="仿宋_GB2312" w:cs="宋体"/>
          <w:b/>
          <w:bCs/>
          <w:kern w:val="0"/>
          <w:sz w:val="24"/>
        </w:rPr>
      </w:pPr>
    </w:p>
    <w:p w14:paraId="7123F305">
      <w:pPr>
        <w:widowControl/>
        <w:tabs>
          <w:tab w:val="left" w:pos="10260"/>
        </w:tabs>
        <w:rPr>
          <w:rFonts w:ascii="仿宋_GB2312" w:hAnsi="仿宋_GB2312" w:eastAsia="仿宋_GB2312" w:cs="宋体"/>
          <w:b/>
          <w:bCs/>
          <w:kern w:val="0"/>
          <w:sz w:val="24"/>
        </w:rPr>
      </w:pPr>
    </w:p>
    <w:p w14:paraId="73B0257C">
      <w:pPr>
        <w:spacing w:line="360" w:lineRule="auto"/>
        <w:jc w:val="center"/>
        <w:rPr>
          <w:rFonts w:ascii="仿宋_GB2312" w:hAnsi="仿宋_GB2312" w:eastAsia="仿宋_GB2312"/>
          <w:b/>
          <w:bCs/>
          <w:sz w:val="36"/>
        </w:rPr>
      </w:pPr>
      <w:r>
        <w:rPr>
          <w:rFonts w:hint="eastAsia" w:ascii="仿宋_GB2312" w:hAnsi="仿宋_GB2312" w:eastAsia="仿宋_GB2312"/>
          <w:b/>
          <w:bCs/>
          <w:sz w:val="36"/>
        </w:rPr>
        <w:t>技术/商务条款响应表</w:t>
      </w:r>
    </w:p>
    <w:p w14:paraId="479AF47E">
      <w:pPr>
        <w:spacing w:line="360" w:lineRule="auto"/>
        <w:rPr>
          <w:rFonts w:ascii="仿宋_GB2312" w:hAnsi="仿宋_GB2312" w:eastAsia="仿宋_GB2312"/>
          <w:sz w:val="24"/>
          <w:u w:val="single"/>
        </w:rPr>
      </w:pPr>
      <w:r>
        <w:rPr>
          <w:rFonts w:hint="eastAsia" w:ascii="仿宋_GB2312" w:hAnsi="仿宋_GB2312" w:eastAsia="仿宋_GB2312"/>
          <w:sz w:val="24"/>
        </w:rPr>
        <w:t>项目名称：</w:t>
      </w:r>
      <w:r>
        <w:rPr>
          <w:rFonts w:ascii="仿宋_GB2312" w:hAnsi="仿宋_GB2312" w:eastAsia="仿宋_GB2312"/>
          <w:sz w:val="24"/>
          <w:u w:val="single"/>
        </w:rPr>
        <w:t xml:space="preserve">                                     </w:t>
      </w:r>
    </w:p>
    <w:p w14:paraId="1EA255B9">
      <w:pPr>
        <w:spacing w:line="360" w:lineRule="auto"/>
        <w:rPr>
          <w:rFonts w:ascii="仿宋_GB2312" w:hAnsi="仿宋_GB2312" w:eastAsia="仿宋_GB2312"/>
          <w:sz w:val="24"/>
          <w:u w:val="single"/>
        </w:rPr>
      </w:pPr>
      <w:r>
        <w:rPr>
          <w:rFonts w:hint="eastAsia" w:ascii="仿宋_GB2312" w:hAnsi="仿宋_GB2312" w:eastAsia="仿宋_GB2312"/>
          <w:sz w:val="24"/>
        </w:rPr>
        <w:t>项目编号：</w:t>
      </w:r>
      <w:r>
        <w:rPr>
          <w:rFonts w:hint="eastAsia" w:ascii="仿宋_GB2312" w:hAnsi="仿宋_GB2312" w:eastAsia="仿宋_GB2312"/>
          <w:sz w:val="24"/>
          <w:u w:val="single"/>
        </w:rPr>
        <w:t xml:space="preserve">                                     </w:t>
      </w:r>
    </w:p>
    <w:tbl>
      <w:tblPr>
        <w:tblStyle w:val="17"/>
        <w:tblW w:w="905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311"/>
        <w:gridCol w:w="1830"/>
        <w:gridCol w:w="1380"/>
        <w:gridCol w:w="1815"/>
      </w:tblGrid>
      <w:tr w14:paraId="693B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20" w:type="dxa"/>
          </w:tcPr>
          <w:p w14:paraId="54BF6CC7">
            <w:pPr>
              <w:spacing w:line="276" w:lineRule="auto"/>
              <w:jc w:val="center"/>
              <w:rPr>
                <w:rFonts w:ascii="仿宋_GB2312" w:hAnsi="仿宋_GB2312" w:eastAsia="仿宋_GB2312"/>
                <w:b/>
                <w:sz w:val="24"/>
              </w:rPr>
            </w:pPr>
            <w:r>
              <w:rPr>
                <w:rFonts w:hint="eastAsia" w:ascii="仿宋_GB2312" w:hAnsi="仿宋_GB2312" w:eastAsia="仿宋_GB2312"/>
                <w:b/>
                <w:sz w:val="24"/>
              </w:rPr>
              <w:t>序号</w:t>
            </w:r>
          </w:p>
        </w:tc>
        <w:tc>
          <w:tcPr>
            <w:tcW w:w="3311" w:type="dxa"/>
          </w:tcPr>
          <w:p w14:paraId="4EBCEE93">
            <w:pPr>
              <w:spacing w:line="276" w:lineRule="auto"/>
              <w:jc w:val="center"/>
              <w:rPr>
                <w:rFonts w:ascii="仿宋_GB2312" w:hAnsi="仿宋_GB2312" w:eastAsia="仿宋_GB2312"/>
                <w:b/>
                <w:sz w:val="24"/>
              </w:rPr>
            </w:pPr>
            <w:r>
              <w:rPr>
                <w:rFonts w:hint="eastAsia" w:ascii="仿宋_GB2312" w:hAnsi="仿宋_GB2312" w:eastAsia="仿宋_GB2312"/>
                <w:b/>
                <w:sz w:val="24"/>
              </w:rPr>
              <w:t>采购文件要求</w:t>
            </w:r>
          </w:p>
        </w:tc>
        <w:tc>
          <w:tcPr>
            <w:tcW w:w="1830" w:type="dxa"/>
          </w:tcPr>
          <w:p w14:paraId="411966E7">
            <w:pPr>
              <w:spacing w:line="276" w:lineRule="auto"/>
              <w:jc w:val="center"/>
              <w:rPr>
                <w:rFonts w:ascii="仿宋_GB2312" w:hAnsi="仿宋_GB2312" w:eastAsia="仿宋_GB2312"/>
                <w:b/>
                <w:sz w:val="24"/>
              </w:rPr>
            </w:pPr>
            <w:r>
              <w:rPr>
                <w:rFonts w:hint="eastAsia" w:ascii="仿宋_GB2312" w:hAnsi="仿宋_GB2312" w:eastAsia="仿宋_GB2312"/>
                <w:b/>
                <w:sz w:val="24"/>
              </w:rPr>
              <w:t>响应说明</w:t>
            </w:r>
          </w:p>
        </w:tc>
        <w:tc>
          <w:tcPr>
            <w:tcW w:w="1380" w:type="dxa"/>
          </w:tcPr>
          <w:p w14:paraId="068D7C2C">
            <w:pPr>
              <w:spacing w:line="276" w:lineRule="auto"/>
              <w:jc w:val="center"/>
              <w:rPr>
                <w:rFonts w:ascii="仿宋_GB2312" w:hAnsi="仿宋_GB2312" w:eastAsia="仿宋_GB2312"/>
                <w:b/>
                <w:sz w:val="24"/>
              </w:rPr>
            </w:pPr>
            <w:r>
              <w:rPr>
                <w:rFonts w:hint="eastAsia" w:ascii="仿宋_GB2312" w:hAnsi="仿宋_GB2312" w:eastAsia="仿宋_GB2312"/>
                <w:b/>
                <w:sz w:val="24"/>
              </w:rPr>
              <w:t>响应情况</w:t>
            </w:r>
          </w:p>
        </w:tc>
        <w:tc>
          <w:tcPr>
            <w:tcW w:w="1815" w:type="dxa"/>
          </w:tcPr>
          <w:p w14:paraId="7CE145B3">
            <w:pPr>
              <w:spacing w:line="276" w:lineRule="auto"/>
              <w:jc w:val="center"/>
              <w:rPr>
                <w:rFonts w:ascii="仿宋_GB2312" w:hAnsi="仿宋_GB2312" w:eastAsia="仿宋_GB2312"/>
                <w:b/>
                <w:sz w:val="24"/>
              </w:rPr>
            </w:pPr>
            <w:r>
              <w:rPr>
                <w:rFonts w:hint="eastAsia" w:ascii="仿宋_GB2312" w:hAnsi="仿宋_GB2312" w:eastAsia="仿宋_GB2312"/>
                <w:b/>
                <w:sz w:val="24"/>
              </w:rPr>
              <w:t>说明</w:t>
            </w:r>
          </w:p>
        </w:tc>
      </w:tr>
      <w:tr w14:paraId="0E4C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tcPr>
          <w:p w14:paraId="382E4E83">
            <w:pPr>
              <w:spacing w:line="360" w:lineRule="auto"/>
              <w:jc w:val="center"/>
              <w:rPr>
                <w:rFonts w:hint="eastAsia" w:ascii="仿宋_GB2312" w:hAnsi="仿宋_GB2312" w:eastAsia="仿宋_GB2312"/>
                <w:sz w:val="24"/>
              </w:rPr>
            </w:pPr>
            <w:r>
              <w:rPr>
                <w:rFonts w:hint="eastAsia" w:ascii="仿宋_GB2312" w:hAnsi="仿宋_GB2312" w:eastAsia="仿宋_GB2312"/>
                <w:sz w:val="24"/>
              </w:rPr>
              <w:t>1</w:t>
            </w:r>
          </w:p>
        </w:tc>
        <w:tc>
          <w:tcPr>
            <w:tcW w:w="3311" w:type="dxa"/>
          </w:tcPr>
          <w:p w14:paraId="6386C0B8">
            <w:pPr>
              <w:spacing w:line="360" w:lineRule="auto"/>
              <w:rPr>
                <w:rFonts w:hint="eastAsia" w:ascii="仿宋_GB2312" w:hAnsi="仿宋_GB2312" w:eastAsia="仿宋_GB2312"/>
                <w:sz w:val="24"/>
              </w:rPr>
            </w:pPr>
            <w:r>
              <w:rPr>
                <w:rFonts w:hint="eastAsia" w:ascii="仿宋_GB2312" w:hAnsi="仿宋_GB2312" w:eastAsia="仿宋_GB2312"/>
                <w:sz w:val="24"/>
              </w:rPr>
              <w:t>合同期：</w:t>
            </w:r>
          </w:p>
        </w:tc>
        <w:tc>
          <w:tcPr>
            <w:tcW w:w="1830" w:type="dxa"/>
          </w:tcPr>
          <w:p w14:paraId="439C3779">
            <w:pPr>
              <w:spacing w:line="360" w:lineRule="auto"/>
              <w:rPr>
                <w:rFonts w:hint="default" w:ascii="仿宋_GB2312" w:hAnsi="仿宋_GB2312" w:eastAsia="仿宋_GB2312"/>
                <w:sz w:val="24"/>
                <w:lang w:val="en-US" w:eastAsia="zh-CN"/>
              </w:rPr>
            </w:pPr>
            <w:r>
              <w:rPr>
                <w:rFonts w:hint="eastAsia" w:ascii="仿宋_GB2312" w:hAnsi="仿宋_GB2312" w:eastAsia="仿宋_GB2312"/>
                <w:sz w:val="24"/>
              </w:rPr>
              <w:t>自行填写</w:t>
            </w:r>
          </w:p>
        </w:tc>
        <w:tc>
          <w:tcPr>
            <w:tcW w:w="1380" w:type="dxa"/>
          </w:tcPr>
          <w:p w14:paraId="5B08F49F">
            <w:pPr>
              <w:spacing w:line="360" w:lineRule="auto"/>
              <w:rPr>
                <w:rFonts w:hint="default" w:ascii="仿宋_GB2312" w:hAnsi="仿宋_GB2312" w:eastAsia="仿宋_GB2312"/>
                <w:sz w:val="24"/>
                <w:lang w:val="en-US" w:eastAsia="zh-CN"/>
              </w:rPr>
            </w:pPr>
            <w:r>
              <w:rPr>
                <w:rFonts w:hint="eastAsia" w:ascii="仿宋_GB2312" w:hAnsi="仿宋_GB2312" w:eastAsia="仿宋_GB2312"/>
                <w:sz w:val="24"/>
              </w:rPr>
              <w:t>自行填写</w:t>
            </w:r>
          </w:p>
        </w:tc>
        <w:tc>
          <w:tcPr>
            <w:tcW w:w="1815" w:type="dxa"/>
          </w:tcPr>
          <w:p w14:paraId="019D6589">
            <w:pPr>
              <w:spacing w:line="360" w:lineRule="auto"/>
              <w:rPr>
                <w:rFonts w:hint="eastAsia" w:ascii="仿宋_GB2312" w:hAnsi="仿宋_GB2312" w:eastAsia="仿宋_GB2312"/>
                <w:sz w:val="24"/>
                <w:lang w:val="en-US" w:eastAsia="zh-CN"/>
              </w:rPr>
            </w:pPr>
            <w:r>
              <w:rPr>
                <w:rFonts w:hint="eastAsia" w:ascii="仿宋_GB2312" w:hAnsi="仿宋_GB2312" w:eastAsia="仿宋_GB2312"/>
                <w:sz w:val="24"/>
              </w:rPr>
              <w:t>采购文件有要求提供证明材料的，需注明证明材料在响应文件第几页</w:t>
            </w:r>
            <w:r>
              <w:rPr>
                <w:rFonts w:hint="eastAsia" w:ascii="仿宋_GB2312" w:hAnsi="仿宋_GB2312" w:eastAsia="仿宋_GB2312"/>
                <w:sz w:val="24"/>
                <w:lang w:eastAsia="zh-CN"/>
              </w:rPr>
              <w:t>。</w:t>
            </w:r>
          </w:p>
        </w:tc>
      </w:tr>
      <w:tr w14:paraId="351B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0" w:type="dxa"/>
          </w:tcPr>
          <w:p w14:paraId="38A857B5">
            <w:pPr>
              <w:spacing w:line="360" w:lineRule="auto"/>
              <w:jc w:val="center"/>
              <w:rPr>
                <w:rFonts w:hint="eastAsia" w:ascii="仿宋_GB2312" w:hAnsi="仿宋_GB2312" w:eastAsia="仿宋_GB2312"/>
                <w:sz w:val="24"/>
              </w:rPr>
            </w:pPr>
            <w:r>
              <w:rPr>
                <w:rFonts w:hint="eastAsia" w:ascii="仿宋_GB2312" w:hAnsi="仿宋_GB2312" w:eastAsia="仿宋_GB2312"/>
                <w:sz w:val="24"/>
              </w:rPr>
              <w:t>2</w:t>
            </w:r>
          </w:p>
        </w:tc>
        <w:tc>
          <w:tcPr>
            <w:tcW w:w="3311" w:type="dxa"/>
          </w:tcPr>
          <w:p w14:paraId="2D39850C">
            <w:pPr>
              <w:spacing w:line="360" w:lineRule="auto"/>
              <w:rPr>
                <w:rFonts w:hint="eastAsia" w:ascii="仿宋_GB2312" w:hAnsi="仿宋_GB2312" w:eastAsia="仿宋_GB2312"/>
                <w:sz w:val="24"/>
                <w:lang w:eastAsia="zh-CN"/>
              </w:rPr>
            </w:pPr>
            <w:r>
              <w:rPr>
                <w:rFonts w:hint="eastAsia" w:ascii="仿宋_GB2312" w:hAnsi="仿宋_GB2312" w:eastAsia="仿宋_GB2312"/>
                <w:sz w:val="24"/>
                <w:lang w:val="en-US" w:eastAsia="zh-CN"/>
              </w:rPr>
              <w:t>服务</w:t>
            </w:r>
            <w:r>
              <w:rPr>
                <w:rFonts w:hint="eastAsia" w:ascii="仿宋_GB2312" w:hAnsi="仿宋_GB2312" w:eastAsia="仿宋_GB2312"/>
                <w:sz w:val="24"/>
              </w:rPr>
              <w:t>时间</w:t>
            </w:r>
            <w:r>
              <w:rPr>
                <w:rFonts w:hint="eastAsia" w:ascii="仿宋_GB2312" w:hAnsi="仿宋_GB2312" w:eastAsia="仿宋_GB2312"/>
                <w:sz w:val="24"/>
                <w:lang w:eastAsia="zh-CN"/>
              </w:rPr>
              <w:t>：</w:t>
            </w:r>
          </w:p>
        </w:tc>
        <w:tc>
          <w:tcPr>
            <w:tcW w:w="1830" w:type="dxa"/>
          </w:tcPr>
          <w:p w14:paraId="12B1E7B1">
            <w:pPr>
              <w:spacing w:line="360" w:lineRule="auto"/>
              <w:rPr>
                <w:rFonts w:hint="eastAsia" w:ascii="仿宋_GB2312" w:hAnsi="仿宋_GB2312" w:eastAsia="仿宋_GB2312"/>
                <w:sz w:val="24"/>
              </w:rPr>
            </w:pPr>
          </w:p>
        </w:tc>
        <w:tc>
          <w:tcPr>
            <w:tcW w:w="1380" w:type="dxa"/>
          </w:tcPr>
          <w:p w14:paraId="4E122BF8">
            <w:pPr>
              <w:spacing w:line="360" w:lineRule="auto"/>
              <w:rPr>
                <w:rFonts w:hint="eastAsia" w:ascii="仿宋_GB2312" w:hAnsi="仿宋_GB2312" w:eastAsia="仿宋_GB2312"/>
                <w:sz w:val="24"/>
              </w:rPr>
            </w:pPr>
          </w:p>
        </w:tc>
        <w:tc>
          <w:tcPr>
            <w:tcW w:w="1815" w:type="dxa"/>
          </w:tcPr>
          <w:p w14:paraId="2A2DAB8D">
            <w:pPr>
              <w:spacing w:line="360" w:lineRule="auto"/>
              <w:rPr>
                <w:rFonts w:hint="eastAsia" w:ascii="仿宋_GB2312" w:hAnsi="仿宋_GB2312" w:eastAsia="仿宋_GB2312"/>
                <w:sz w:val="24"/>
              </w:rPr>
            </w:pPr>
          </w:p>
        </w:tc>
      </w:tr>
      <w:tr w14:paraId="5B80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20" w:type="dxa"/>
          </w:tcPr>
          <w:p w14:paraId="69E67EF3">
            <w:pPr>
              <w:spacing w:line="360" w:lineRule="auto"/>
              <w:jc w:val="center"/>
              <w:rPr>
                <w:rFonts w:hint="eastAsia" w:ascii="仿宋_GB2312" w:hAnsi="仿宋_GB2312" w:eastAsia="仿宋_GB2312"/>
                <w:sz w:val="24"/>
              </w:rPr>
            </w:pPr>
            <w:r>
              <w:rPr>
                <w:rFonts w:hint="eastAsia" w:ascii="仿宋_GB2312" w:hAnsi="仿宋_GB2312" w:eastAsia="仿宋_GB2312"/>
                <w:sz w:val="24"/>
              </w:rPr>
              <w:t>3</w:t>
            </w:r>
          </w:p>
        </w:tc>
        <w:tc>
          <w:tcPr>
            <w:tcW w:w="3311" w:type="dxa"/>
          </w:tcPr>
          <w:p w14:paraId="4AA12996">
            <w:pPr>
              <w:spacing w:line="360" w:lineRule="auto"/>
              <w:rPr>
                <w:rFonts w:hint="eastAsia" w:ascii="仿宋_GB2312" w:hAnsi="仿宋_GB2312" w:eastAsia="仿宋_GB2312"/>
                <w:sz w:val="24"/>
              </w:rPr>
            </w:pPr>
            <w:r>
              <w:rPr>
                <w:rFonts w:hint="eastAsia" w:ascii="仿宋_GB2312" w:hAnsi="仿宋_GB2312" w:eastAsia="仿宋_GB2312"/>
                <w:sz w:val="24"/>
                <w:lang w:val="en-US" w:eastAsia="zh-CN"/>
              </w:rPr>
              <w:t>服务</w:t>
            </w:r>
            <w:r>
              <w:rPr>
                <w:rFonts w:hint="eastAsia" w:ascii="仿宋_GB2312" w:hAnsi="仿宋_GB2312" w:eastAsia="仿宋_GB2312"/>
                <w:sz w:val="24"/>
              </w:rPr>
              <w:t>地点：</w:t>
            </w:r>
          </w:p>
        </w:tc>
        <w:tc>
          <w:tcPr>
            <w:tcW w:w="1830" w:type="dxa"/>
          </w:tcPr>
          <w:p w14:paraId="23C53C41">
            <w:pPr>
              <w:spacing w:line="360" w:lineRule="auto"/>
              <w:rPr>
                <w:rFonts w:hint="eastAsia" w:ascii="仿宋_GB2312" w:hAnsi="仿宋_GB2312" w:eastAsia="仿宋_GB2312"/>
                <w:sz w:val="24"/>
              </w:rPr>
            </w:pPr>
          </w:p>
        </w:tc>
        <w:tc>
          <w:tcPr>
            <w:tcW w:w="1380" w:type="dxa"/>
          </w:tcPr>
          <w:p w14:paraId="60A55E81">
            <w:pPr>
              <w:spacing w:line="360" w:lineRule="auto"/>
              <w:rPr>
                <w:rFonts w:hint="eastAsia" w:ascii="仿宋_GB2312" w:hAnsi="仿宋_GB2312" w:eastAsia="仿宋_GB2312"/>
                <w:sz w:val="24"/>
              </w:rPr>
            </w:pPr>
          </w:p>
        </w:tc>
        <w:tc>
          <w:tcPr>
            <w:tcW w:w="1815" w:type="dxa"/>
          </w:tcPr>
          <w:p w14:paraId="43277359">
            <w:pPr>
              <w:spacing w:line="360" w:lineRule="auto"/>
              <w:rPr>
                <w:rFonts w:hint="eastAsia" w:ascii="仿宋_GB2312" w:hAnsi="仿宋_GB2312" w:eastAsia="仿宋_GB2312"/>
                <w:sz w:val="24"/>
              </w:rPr>
            </w:pPr>
          </w:p>
        </w:tc>
      </w:tr>
      <w:tr w14:paraId="1CA5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20" w:type="dxa"/>
          </w:tcPr>
          <w:p w14:paraId="7E0A1F7B">
            <w:pPr>
              <w:spacing w:line="360" w:lineRule="auto"/>
              <w:jc w:val="center"/>
              <w:rPr>
                <w:rFonts w:hint="eastAsia" w:ascii="仿宋_GB2312" w:hAnsi="仿宋_GB2312" w:eastAsia="仿宋_GB2312"/>
                <w:sz w:val="24"/>
              </w:rPr>
            </w:pPr>
            <w:r>
              <w:rPr>
                <w:rFonts w:hint="eastAsia" w:ascii="仿宋_GB2312" w:hAnsi="仿宋_GB2312" w:eastAsia="仿宋_GB2312"/>
                <w:sz w:val="24"/>
              </w:rPr>
              <w:t>4</w:t>
            </w:r>
          </w:p>
        </w:tc>
        <w:tc>
          <w:tcPr>
            <w:tcW w:w="3311" w:type="dxa"/>
          </w:tcPr>
          <w:p w14:paraId="6566A60C">
            <w:pPr>
              <w:spacing w:line="360" w:lineRule="auto"/>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事故响应：</w:t>
            </w:r>
          </w:p>
        </w:tc>
        <w:tc>
          <w:tcPr>
            <w:tcW w:w="1830" w:type="dxa"/>
          </w:tcPr>
          <w:p w14:paraId="2DFCF7A6">
            <w:pPr>
              <w:spacing w:line="360" w:lineRule="auto"/>
              <w:rPr>
                <w:rFonts w:hint="eastAsia" w:ascii="仿宋_GB2312" w:hAnsi="仿宋_GB2312" w:eastAsia="仿宋_GB2312"/>
                <w:sz w:val="24"/>
              </w:rPr>
            </w:pPr>
          </w:p>
        </w:tc>
        <w:tc>
          <w:tcPr>
            <w:tcW w:w="1380" w:type="dxa"/>
          </w:tcPr>
          <w:p w14:paraId="5CB55440">
            <w:pPr>
              <w:spacing w:line="360" w:lineRule="auto"/>
              <w:rPr>
                <w:rFonts w:hint="eastAsia" w:ascii="仿宋_GB2312" w:hAnsi="仿宋_GB2312" w:eastAsia="仿宋_GB2312"/>
                <w:sz w:val="24"/>
              </w:rPr>
            </w:pPr>
          </w:p>
        </w:tc>
        <w:tc>
          <w:tcPr>
            <w:tcW w:w="1815" w:type="dxa"/>
          </w:tcPr>
          <w:p w14:paraId="336DF6E3">
            <w:pPr>
              <w:spacing w:line="360" w:lineRule="auto"/>
              <w:rPr>
                <w:rFonts w:hint="eastAsia" w:ascii="仿宋_GB2312" w:hAnsi="仿宋_GB2312" w:eastAsia="仿宋_GB2312"/>
                <w:sz w:val="24"/>
              </w:rPr>
            </w:pPr>
          </w:p>
        </w:tc>
      </w:tr>
      <w:tr w14:paraId="53B4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20" w:type="dxa"/>
          </w:tcPr>
          <w:p w14:paraId="0ADEE450">
            <w:pPr>
              <w:spacing w:line="360" w:lineRule="auto"/>
              <w:jc w:val="center"/>
              <w:rPr>
                <w:rFonts w:hint="eastAsia" w:ascii="仿宋_GB2312" w:hAnsi="仿宋_GB2312" w:eastAsia="仿宋_GB2312"/>
                <w:sz w:val="24"/>
              </w:rPr>
            </w:pPr>
            <w:r>
              <w:rPr>
                <w:rFonts w:hint="eastAsia" w:ascii="仿宋_GB2312" w:hAnsi="仿宋_GB2312" w:eastAsia="仿宋_GB2312"/>
                <w:sz w:val="24"/>
              </w:rPr>
              <w:t>5</w:t>
            </w:r>
          </w:p>
        </w:tc>
        <w:tc>
          <w:tcPr>
            <w:tcW w:w="3311" w:type="dxa"/>
          </w:tcPr>
          <w:p w14:paraId="5029D855">
            <w:pPr>
              <w:spacing w:line="360" w:lineRule="auto"/>
              <w:rPr>
                <w:rFonts w:hint="eastAsia" w:ascii="仿宋_GB2312" w:hAnsi="仿宋_GB2312" w:eastAsia="仿宋_GB2312"/>
                <w:sz w:val="24"/>
              </w:rPr>
            </w:pPr>
            <w:r>
              <w:rPr>
                <w:rFonts w:hint="eastAsia" w:ascii="仿宋_GB2312" w:hAnsi="仿宋_GB2312" w:eastAsia="仿宋_GB2312"/>
                <w:sz w:val="24"/>
              </w:rPr>
              <w:t>付款方式：</w:t>
            </w:r>
          </w:p>
        </w:tc>
        <w:tc>
          <w:tcPr>
            <w:tcW w:w="1830" w:type="dxa"/>
          </w:tcPr>
          <w:p w14:paraId="705D050D">
            <w:pPr>
              <w:spacing w:line="360" w:lineRule="auto"/>
              <w:rPr>
                <w:rFonts w:hint="eastAsia" w:ascii="仿宋_GB2312" w:hAnsi="仿宋_GB2312" w:eastAsia="仿宋_GB2312"/>
                <w:sz w:val="24"/>
              </w:rPr>
            </w:pPr>
          </w:p>
        </w:tc>
        <w:tc>
          <w:tcPr>
            <w:tcW w:w="1380" w:type="dxa"/>
          </w:tcPr>
          <w:p w14:paraId="3B97AB33">
            <w:pPr>
              <w:spacing w:line="360" w:lineRule="auto"/>
              <w:rPr>
                <w:rFonts w:hint="eastAsia" w:ascii="仿宋_GB2312" w:hAnsi="仿宋_GB2312" w:eastAsia="仿宋_GB2312"/>
                <w:sz w:val="24"/>
              </w:rPr>
            </w:pPr>
          </w:p>
        </w:tc>
        <w:tc>
          <w:tcPr>
            <w:tcW w:w="1815" w:type="dxa"/>
          </w:tcPr>
          <w:p w14:paraId="448F9786">
            <w:pPr>
              <w:spacing w:line="360" w:lineRule="auto"/>
              <w:rPr>
                <w:rFonts w:hint="eastAsia" w:ascii="仿宋_GB2312" w:hAnsi="仿宋_GB2312" w:eastAsia="仿宋_GB2312"/>
                <w:sz w:val="24"/>
              </w:rPr>
            </w:pPr>
          </w:p>
        </w:tc>
      </w:tr>
      <w:tr w14:paraId="2D6B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20" w:type="dxa"/>
          </w:tcPr>
          <w:p w14:paraId="6FA254A7">
            <w:pPr>
              <w:spacing w:line="360" w:lineRule="auto"/>
              <w:jc w:val="center"/>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6</w:t>
            </w:r>
          </w:p>
        </w:tc>
        <w:tc>
          <w:tcPr>
            <w:tcW w:w="3311" w:type="dxa"/>
          </w:tcPr>
          <w:p w14:paraId="3B86E16A">
            <w:pPr>
              <w:spacing w:line="360" w:lineRule="auto"/>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其他要求：</w:t>
            </w:r>
          </w:p>
        </w:tc>
        <w:tc>
          <w:tcPr>
            <w:tcW w:w="1830" w:type="dxa"/>
          </w:tcPr>
          <w:p w14:paraId="2B1A4A7B">
            <w:pPr>
              <w:spacing w:line="360" w:lineRule="auto"/>
              <w:rPr>
                <w:rFonts w:hint="eastAsia" w:ascii="仿宋_GB2312" w:hAnsi="仿宋_GB2312" w:eastAsia="仿宋_GB2312"/>
                <w:sz w:val="24"/>
              </w:rPr>
            </w:pPr>
          </w:p>
        </w:tc>
        <w:tc>
          <w:tcPr>
            <w:tcW w:w="1380" w:type="dxa"/>
          </w:tcPr>
          <w:p w14:paraId="3ACAA341">
            <w:pPr>
              <w:spacing w:line="360" w:lineRule="auto"/>
              <w:rPr>
                <w:rFonts w:hint="eastAsia" w:ascii="仿宋_GB2312" w:hAnsi="仿宋_GB2312" w:eastAsia="仿宋_GB2312"/>
                <w:sz w:val="24"/>
              </w:rPr>
            </w:pPr>
          </w:p>
        </w:tc>
        <w:tc>
          <w:tcPr>
            <w:tcW w:w="1815" w:type="dxa"/>
          </w:tcPr>
          <w:p w14:paraId="63F801F1">
            <w:pPr>
              <w:spacing w:line="360" w:lineRule="auto"/>
              <w:rPr>
                <w:rFonts w:hint="eastAsia" w:ascii="仿宋_GB2312" w:hAnsi="仿宋_GB2312" w:eastAsia="仿宋_GB2312"/>
                <w:sz w:val="24"/>
              </w:rPr>
            </w:pPr>
          </w:p>
        </w:tc>
      </w:tr>
    </w:tbl>
    <w:p w14:paraId="67D05883">
      <w:pPr>
        <w:spacing w:line="276" w:lineRule="auto"/>
        <w:rPr>
          <w:rFonts w:hint="eastAsia" w:ascii="仿宋_GB2312" w:hAnsi="仿宋_GB2312" w:eastAsia="仿宋_GB2312"/>
          <w:sz w:val="24"/>
        </w:rPr>
      </w:pPr>
      <w:r>
        <w:rPr>
          <w:rFonts w:hint="eastAsia" w:ascii="仿宋_GB2312" w:hAnsi="仿宋_GB2312" w:eastAsia="仿宋_GB2312"/>
          <w:sz w:val="24"/>
        </w:rPr>
        <w:t>（如有需要，可增加</w:t>
      </w:r>
      <w:r>
        <w:rPr>
          <w:rFonts w:hint="eastAsia" w:ascii="仿宋_GB2312" w:hAnsi="仿宋_GB2312" w:eastAsia="仿宋_GB2312"/>
          <w:sz w:val="24"/>
          <w:lang w:val="en-US" w:eastAsia="zh-CN"/>
        </w:rPr>
        <w:t>/修改</w:t>
      </w:r>
      <w:r>
        <w:rPr>
          <w:rFonts w:hint="eastAsia" w:ascii="仿宋_GB2312" w:hAnsi="仿宋_GB2312" w:eastAsia="仿宋_GB2312"/>
          <w:sz w:val="24"/>
        </w:rPr>
        <w:t>内容）</w:t>
      </w:r>
    </w:p>
    <w:p w14:paraId="104E7520">
      <w:pPr>
        <w:spacing w:line="276" w:lineRule="auto"/>
        <w:rPr>
          <w:rFonts w:hint="eastAsia" w:ascii="仿宋_GB2312" w:hAnsi="仿宋_GB2312" w:eastAsia="仿宋_GB2312"/>
          <w:sz w:val="24"/>
        </w:rPr>
      </w:pPr>
    </w:p>
    <w:p w14:paraId="0ABB7F56">
      <w:pPr>
        <w:spacing w:line="276" w:lineRule="auto"/>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备注：</w:t>
      </w:r>
    </w:p>
    <w:p w14:paraId="5610C58E">
      <w:pPr>
        <w:spacing w:line="276" w:lineRule="auto"/>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1.采购文件有要求提供证明材料的，必须要提供证明材料，否则视为未实质性响应。此外在商务偏离表里须注明该证明文件的具体位置如页码或序号。</w:t>
      </w:r>
    </w:p>
    <w:p w14:paraId="5C77C515">
      <w:pPr>
        <w:spacing w:line="276" w:lineRule="auto"/>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2.如果对其中某些条款不响应时，也应在文件中逐条列出。</w:t>
      </w:r>
    </w:p>
    <w:p w14:paraId="141AE570">
      <w:pPr>
        <w:spacing w:line="276" w:lineRule="auto"/>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3.如有漏写视为负偏离。</w:t>
      </w:r>
    </w:p>
    <w:p w14:paraId="467C34D2">
      <w:pPr>
        <w:spacing w:line="276" w:lineRule="auto"/>
        <w:rPr>
          <w:rFonts w:ascii="仿宋_GB2312" w:hAnsi="仿宋_GB2312" w:eastAsia="仿宋_GB2312"/>
          <w:sz w:val="24"/>
        </w:rPr>
      </w:pPr>
    </w:p>
    <w:p w14:paraId="26032559">
      <w:pPr>
        <w:spacing w:line="276" w:lineRule="auto"/>
        <w:rPr>
          <w:rFonts w:ascii="仿宋_GB2312" w:hAnsi="仿宋_GB2312" w:eastAsia="仿宋_GB2312"/>
          <w:sz w:val="24"/>
        </w:rPr>
      </w:pPr>
    </w:p>
    <w:p w14:paraId="61BC7EA1">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1752C247">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CF3E4D3">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1078F3C6">
      <w:pPr>
        <w:widowControl/>
        <w:tabs>
          <w:tab w:val="left" w:pos="10260"/>
        </w:tabs>
        <w:rPr>
          <w:rFonts w:ascii="仿宋_GB2312" w:hAnsi="宋体" w:eastAsia="仿宋_GB2312"/>
          <w:sz w:val="24"/>
          <w:szCs w:val="28"/>
        </w:rPr>
      </w:pPr>
    </w:p>
    <w:sectPr>
      <w:footerReference r:id="rId5" w:type="default"/>
      <w:pgSz w:w="11906" w:h="16838"/>
      <w:pgMar w:top="964" w:right="1826" w:bottom="1021" w:left="1797" w:header="851" w:footer="992" w:gutter="0"/>
      <w:cols w:space="720" w:num="1"/>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8F9D">
    <w:pPr>
      <w:pStyle w:val="9"/>
      <w:framePr w:wrap="around" w:vAnchor="text" w:hAnchor="margin" w:xAlign="right" w:y="1"/>
      <w:rPr>
        <w:rStyle w:val="20"/>
      </w:rPr>
    </w:pPr>
  </w:p>
  <w:p w14:paraId="737B3440">
    <w:pPr>
      <w:pStyle w:val="9"/>
      <w:ind w:firstLine="2100" w:firstLineChars="2100"/>
    </w:pPr>
    <w:r>
      <w:rPr>
        <w:sz w:val="10"/>
      </w:rPr>
      <w:t xml:space="preserve">                               </w:t>
    </w:r>
    <w:r>
      <w:rPr>
        <w:rFonts w:hint="eastAsia"/>
        <w:sz w:val="10"/>
      </w:rPr>
      <w:t xml:space="preserve">     </w:t>
    </w:r>
    <w:r>
      <w:fldChar w:fldCharType="begin"/>
    </w:r>
    <w:r>
      <w:rPr>
        <w:rStyle w:val="20"/>
      </w:rPr>
      <w:instrText xml:space="preserve"> PAGE </w:instrText>
    </w:r>
    <w:r>
      <w:fldChar w:fldCharType="separate"/>
    </w:r>
    <w:r>
      <w:rPr>
        <w:rStyle w:val="20"/>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9285">
    <w:pPr>
      <w:pStyle w:val="9"/>
      <w:framePr w:wrap="around" w:vAnchor="text" w:hAnchor="margin" w:xAlign="right" w:y="1"/>
      <w:rPr>
        <w:rStyle w:val="20"/>
      </w:rPr>
    </w:pPr>
    <w:r>
      <w:fldChar w:fldCharType="begin"/>
    </w:r>
    <w:r>
      <w:rPr>
        <w:rStyle w:val="20"/>
      </w:rPr>
      <w:instrText xml:space="preserve">PAGE  </w:instrText>
    </w:r>
    <w:r>
      <w:fldChar w:fldCharType="separate"/>
    </w:r>
    <w:r>
      <w:rPr>
        <w:rStyle w:val="20"/>
      </w:rPr>
      <w:t>1</w:t>
    </w:r>
    <w:r>
      <w:fldChar w:fldCharType="end"/>
    </w:r>
  </w:p>
  <w:p w14:paraId="3C45FD0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837858"/>
    </w:sdtPr>
    <w:sdtContent>
      <w:p w14:paraId="3AA339E4">
        <w:pPr>
          <w:pStyle w:val="9"/>
          <w:jc w:val="center"/>
        </w:pPr>
        <w:r>
          <w:fldChar w:fldCharType="begin"/>
        </w:r>
        <w:r>
          <w:instrText xml:space="preserve">PAGE   \* MERGEFORMAT</w:instrText>
        </w:r>
        <w:r>
          <w:fldChar w:fldCharType="separate"/>
        </w:r>
        <w:r>
          <w:rPr>
            <w:lang w:val="zh-CN"/>
          </w:rPr>
          <w:t>17</w:t>
        </w:r>
        <w:r>
          <w:fldChar w:fldCharType="end"/>
        </w:r>
      </w:p>
    </w:sdtContent>
  </w:sdt>
  <w:p w14:paraId="22F0A96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CCF4C"/>
    <w:multiLevelType w:val="singleLevel"/>
    <w:tmpl w:val="BBDCCF4C"/>
    <w:lvl w:ilvl="0" w:tentative="0">
      <w:start w:val="3"/>
      <w:numFmt w:val="decimal"/>
      <w:suff w:val="nothing"/>
      <w:lvlText w:val="%1、"/>
      <w:lvlJc w:val="left"/>
    </w:lvl>
  </w:abstractNum>
  <w:abstractNum w:abstractNumId="1">
    <w:nsid w:val="371729ED"/>
    <w:multiLevelType w:val="multilevel"/>
    <w:tmpl w:val="371729ED"/>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2FE6B22"/>
    <w:multiLevelType w:val="singleLevel"/>
    <w:tmpl w:val="72FE6B2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YTBmYzk4NzhjZDM0YzBmOTlmYTljMGJmM2ZkNjUifQ=="/>
  </w:docVars>
  <w:rsids>
    <w:rsidRoot w:val="00172A27"/>
    <w:rsid w:val="000001C2"/>
    <w:rsid w:val="000005F4"/>
    <w:rsid w:val="00002E50"/>
    <w:rsid w:val="00007F0C"/>
    <w:rsid w:val="000131BD"/>
    <w:rsid w:val="00014437"/>
    <w:rsid w:val="00014A0A"/>
    <w:rsid w:val="00015A14"/>
    <w:rsid w:val="00015B8D"/>
    <w:rsid w:val="000219F1"/>
    <w:rsid w:val="00023C10"/>
    <w:rsid w:val="00030ECC"/>
    <w:rsid w:val="00031AA9"/>
    <w:rsid w:val="000470FB"/>
    <w:rsid w:val="00052E6F"/>
    <w:rsid w:val="0005700F"/>
    <w:rsid w:val="00067769"/>
    <w:rsid w:val="00071828"/>
    <w:rsid w:val="0009390E"/>
    <w:rsid w:val="000A28CB"/>
    <w:rsid w:val="000A3867"/>
    <w:rsid w:val="000A481F"/>
    <w:rsid w:val="000A70BB"/>
    <w:rsid w:val="000A7645"/>
    <w:rsid w:val="000B1A69"/>
    <w:rsid w:val="000B1DCE"/>
    <w:rsid w:val="000B27F6"/>
    <w:rsid w:val="000C04BA"/>
    <w:rsid w:val="000C0E23"/>
    <w:rsid w:val="000C168D"/>
    <w:rsid w:val="000C243B"/>
    <w:rsid w:val="000C3FFB"/>
    <w:rsid w:val="000D31BE"/>
    <w:rsid w:val="000D479B"/>
    <w:rsid w:val="000E2797"/>
    <w:rsid w:val="000E3078"/>
    <w:rsid w:val="000E4544"/>
    <w:rsid w:val="000E4EA9"/>
    <w:rsid w:val="000E58FD"/>
    <w:rsid w:val="000E6424"/>
    <w:rsid w:val="000F5590"/>
    <w:rsid w:val="000F5DDF"/>
    <w:rsid w:val="000F609B"/>
    <w:rsid w:val="00101716"/>
    <w:rsid w:val="001049DD"/>
    <w:rsid w:val="00110112"/>
    <w:rsid w:val="00110C63"/>
    <w:rsid w:val="00115795"/>
    <w:rsid w:val="00117ABA"/>
    <w:rsid w:val="00121E0C"/>
    <w:rsid w:val="001232DD"/>
    <w:rsid w:val="00130E68"/>
    <w:rsid w:val="001311AC"/>
    <w:rsid w:val="001319D9"/>
    <w:rsid w:val="001327F2"/>
    <w:rsid w:val="00134DBF"/>
    <w:rsid w:val="00135F25"/>
    <w:rsid w:val="00142D17"/>
    <w:rsid w:val="001434E2"/>
    <w:rsid w:val="001439D8"/>
    <w:rsid w:val="00143BA6"/>
    <w:rsid w:val="001448DC"/>
    <w:rsid w:val="00144A9D"/>
    <w:rsid w:val="0015081D"/>
    <w:rsid w:val="00164FA6"/>
    <w:rsid w:val="00165692"/>
    <w:rsid w:val="00165C90"/>
    <w:rsid w:val="00172A27"/>
    <w:rsid w:val="00175106"/>
    <w:rsid w:val="00175ACC"/>
    <w:rsid w:val="0017764D"/>
    <w:rsid w:val="001806D2"/>
    <w:rsid w:val="0018465B"/>
    <w:rsid w:val="001918D5"/>
    <w:rsid w:val="00191E49"/>
    <w:rsid w:val="00193041"/>
    <w:rsid w:val="00194647"/>
    <w:rsid w:val="00195D92"/>
    <w:rsid w:val="001A24FB"/>
    <w:rsid w:val="001A2A07"/>
    <w:rsid w:val="001B344D"/>
    <w:rsid w:val="001B3718"/>
    <w:rsid w:val="001B4DF5"/>
    <w:rsid w:val="001C189B"/>
    <w:rsid w:val="001C1E0C"/>
    <w:rsid w:val="001C4E51"/>
    <w:rsid w:val="001D19E5"/>
    <w:rsid w:val="001D4240"/>
    <w:rsid w:val="001E1F47"/>
    <w:rsid w:val="001E4FC0"/>
    <w:rsid w:val="001E6042"/>
    <w:rsid w:val="001E7EFF"/>
    <w:rsid w:val="001F1894"/>
    <w:rsid w:val="001F1A57"/>
    <w:rsid w:val="002145BC"/>
    <w:rsid w:val="00216500"/>
    <w:rsid w:val="0022317C"/>
    <w:rsid w:val="00227528"/>
    <w:rsid w:val="00232E69"/>
    <w:rsid w:val="00234464"/>
    <w:rsid w:val="00246FC9"/>
    <w:rsid w:val="00255E88"/>
    <w:rsid w:val="0026283D"/>
    <w:rsid w:val="0026664C"/>
    <w:rsid w:val="00275727"/>
    <w:rsid w:val="002840DC"/>
    <w:rsid w:val="002871A7"/>
    <w:rsid w:val="002900C8"/>
    <w:rsid w:val="002B0F04"/>
    <w:rsid w:val="002B1FEF"/>
    <w:rsid w:val="002B3786"/>
    <w:rsid w:val="002B4DE4"/>
    <w:rsid w:val="002B587B"/>
    <w:rsid w:val="002B6364"/>
    <w:rsid w:val="002C309C"/>
    <w:rsid w:val="002C6DC2"/>
    <w:rsid w:val="002D5103"/>
    <w:rsid w:val="002E6F66"/>
    <w:rsid w:val="002F2C68"/>
    <w:rsid w:val="002F3756"/>
    <w:rsid w:val="002F499D"/>
    <w:rsid w:val="002F72C1"/>
    <w:rsid w:val="003008E9"/>
    <w:rsid w:val="00305E57"/>
    <w:rsid w:val="00312427"/>
    <w:rsid w:val="003142C2"/>
    <w:rsid w:val="003173A4"/>
    <w:rsid w:val="003205FB"/>
    <w:rsid w:val="003234BE"/>
    <w:rsid w:val="00332801"/>
    <w:rsid w:val="0033703C"/>
    <w:rsid w:val="00340CF1"/>
    <w:rsid w:val="003413E6"/>
    <w:rsid w:val="00344EEE"/>
    <w:rsid w:val="00347851"/>
    <w:rsid w:val="003534F5"/>
    <w:rsid w:val="00354B67"/>
    <w:rsid w:val="003608F4"/>
    <w:rsid w:val="00364C01"/>
    <w:rsid w:val="003660A0"/>
    <w:rsid w:val="00373EF5"/>
    <w:rsid w:val="00381A21"/>
    <w:rsid w:val="0039342A"/>
    <w:rsid w:val="003A0A40"/>
    <w:rsid w:val="003A0C81"/>
    <w:rsid w:val="003A17F0"/>
    <w:rsid w:val="003A2798"/>
    <w:rsid w:val="003A71C0"/>
    <w:rsid w:val="003A7822"/>
    <w:rsid w:val="003B13FC"/>
    <w:rsid w:val="003B6495"/>
    <w:rsid w:val="003C0F35"/>
    <w:rsid w:val="003C4B6A"/>
    <w:rsid w:val="003C58F4"/>
    <w:rsid w:val="003C6DEE"/>
    <w:rsid w:val="003C7C8B"/>
    <w:rsid w:val="003D0128"/>
    <w:rsid w:val="003D5331"/>
    <w:rsid w:val="003D62C5"/>
    <w:rsid w:val="003D6E4A"/>
    <w:rsid w:val="003E2091"/>
    <w:rsid w:val="003E2737"/>
    <w:rsid w:val="003E5091"/>
    <w:rsid w:val="003F17F9"/>
    <w:rsid w:val="003F2ACF"/>
    <w:rsid w:val="003F6B71"/>
    <w:rsid w:val="003F7D29"/>
    <w:rsid w:val="00400CFC"/>
    <w:rsid w:val="00401023"/>
    <w:rsid w:val="004053B8"/>
    <w:rsid w:val="00412E47"/>
    <w:rsid w:val="0041320F"/>
    <w:rsid w:val="004204D0"/>
    <w:rsid w:val="0042068C"/>
    <w:rsid w:val="00422C7A"/>
    <w:rsid w:val="004235E7"/>
    <w:rsid w:val="00423814"/>
    <w:rsid w:val="004262F4"/>
    <w:rsid w:val="0043084A"/>
    <w:rsid w:val="00432924"/>
    <w:rsid w:val="00432999"/>
    <w:rsid w:val="004364BF"/>
    <w:rsid w:val="00437045"/>
    <w:rsid w:val="004373DE"/>
    <w:rsid w:val="00441C47"/>
    <w:rsid w:val="00442647"/>
    <w:rsid w:val="004434FC"/>
    <w:rsid w:val="00443940"/>
    <w:rsid w:val="0044548C"/>
    <w:rsid w:val="00450499"/>
    <w:rsid w:val="00450CF3"/>
    <w:rsid w:val="00451D38"/>
    <w:rsid w:val="004524DD"/>
    <w:rsid w:val="00455F79"/>
    <w:rsid w:val="00456F00"/>
    <w:rsid w:val="004613A3"/>
    <w:rsid w:val="00470AD3"/>
    <w:rsid w:val="00471028"/>
    <w:rsid w:val="00473082"/>
    <w:rsid w:val="00474794"/>
    <w:rsid w:val="00480883"/>
    <w:rsid w:val="00481F45"/>
    <w:rsid w:val="00483DC5"/>
    <w:rsid w:val="00484E01"/>
    <w:rsid w:val="0048515A"/>
    <w:rsid w:val="00485541"/>
    <w:rsid w:val="00491C79"/>
    <w:rsid w:val="0049247B"/>
    <w:rsid w:val="004A1C36"/>
    <w:rsid w:val="004A4566"/>
    <w:rsid w:val="004B0F2E"/>
    <w:rsid w:val="004B3FEA"/>
    <w:rsid w:val="004C088B"/>
    <w:rsid w:val="004C2961"/>
    <w:rsid w:val="004C4080"/>
    <w:rsid w:val="004C4147"/>
    <w:rsid w:val="004D0BDC"/>
    <w:rsid w:val="004D0E25"/>
    <w:rsid w:val="004D4D23"/>
    <w:rsid w:val="004D50A2"/>
    <w:rsid w:val="004D7FC4"/>
    <w:rsid w:val="004E18C0"/>
    <w:rsid w:val="004E215C"/>
    <w:rsid w:val="004E3578"/>
    <w:rsid w:val="004E3863"/>
    <w:rsid w:val="004F07DC"/>
    <w:rsid w:val="004F1AF6"/>
    <w:rsid w:val="004F7F0B"/>
    <w:rsid w:val="0050446C"/>
    <w:rsid w:val="00504DE1"/>
    <w:rsid w:val="00505B0F"/>
    <w:rsid w:val="00506413"/>
    <w:rsid w:val="00511B5F"/>
    <w:rsid w:val="005158A6"/>
    <w:rsid w:val="00520351"/>
    <w:rsid w:val="00520DD2"/>
    <w:rsid w:val="0052209C"/>
    <w:rsid w:val="0052232E"/>
    <w:rsid w:val="00524513"/>
    <w:rsid w:val="0052483A"/>
    <w:rsid w:val="005267C6"/>
    <w:rsid w:val="00530241"/>
    <w:rsid w:val="005318B7"/>
    <w:rsid w:val="0053232F"/>
    <w:rsid w:val="0053334A"/>
    <w:rsid w:val="00533560"/>
    <w:rsid w:val="00535C45"/>
    <w:rsid w:val="00546FDE"/>
    <w:rsid w:val="00547933"/>
    <w:rsid w:val="00551B80"/>
    <w:rsid w:val="0056444A"/>
    <w:rsid w:val="005663CE"/>
    <w:rsid w:val="00571564"/>
    <w:rsid w:val="00571C0D"/>
    <w:rsid w:val="00572702"/>
    <w:rsid w:val="00574321"/>
    <w:rsid w:val="00577249"/>
    <w:rsid w:val="00587223"/>
    <w:rsid w:val="00590FC1"/>
    <w:rsid w:val="00594E9B"/>
    <w:rsid w:val="005957DC"/>
    <w:rsid w:val="005971D3"/>
    <w:rsid w:val="00597C03"/>
    <w:rsid w:val="005A4D7E"/>
    <w:rsid w:val="005A6E04"/>
    <w:rsid w:val="005B1097"/>
    <w:rsid w:val="005B1558"/>
    <w:rsid w:val="005B16BE"/>
    <w:rsid w:val="005B329C"/>
    <w:rsid w:val="005B4B49"/>
    <w:rsid w:val="005B6B54"/>
    <w:rsid w:val="005C2E11"/>
    <w:rsid w:val="005C6250"/>
    <w:rsid w:val="005C77D1"/>
    <w:rsid w:val="005D1817"/>
    <w:rsid w:val="005D3829"/>
    <w:rsid w:val="005D6CC8"/>
    <w:rsid w:val="005D7EA6"/>
    <w:rsid w:val="005E2214"/>
    <w:rsid w:val="005E2C3C"/>
    <w:rsid w:val="005E4205"/>
    <w:rsid w:val="005E6455"/>
    <w:rsid w:val="005E6D55"/>
    <w:rsid w:val="005E7A9A"/>
    <w:rsid w:val="005F093A"/>
    <w:rsid w:val="005F222A"/>
    <w:rsid w:val="005F4FF4"/>
    <w:rsid w:val="00602CE1"/>
    <w:rsid w:val="0060643B"/>
    <w:rsid w:val="0061318F"/>
    <w:rsid w:val="0062052E"/>
    <w:rsid w:val="006208B8"/>
    <w:rsid w:val="006275C1"/>
    <w:rsid w:val="00627F19"/>
    <w:rsid w:val="00634E20"/>
    <w:rsid w:val="00635F34"/>
    <w:rsid w:val="0064186B"/>
    <w:rsid w:val="0064316A"/>
    <w:rsid w:val="0064317A"/>
    <w:rsid w:val="006456A8"/>
    <w:rsid w:val="006463E9"/>
    <w:rsid w:val="00646A98"/>
    <w:rsid w:val="00646F9E"/>
    <w:rsid w:val="00653DB2"/>
    <w:rsid w:val="00657071"/>
    <w:rsid w:val="00663CB6"/>
    <w:rsid w:val="00666037"/>
    <w:rsid w:val="006679A5"/>
    <w:rsid w:val="00670B9C"/>
    <w:rsid w:val="00672B4E"/>
    <w:rsid w:val="00673D14"/>
    <w:rsid w:val="00674472"/>
    <w:rsid w:val="006756D9"/>
    <w:rsid w:val="006766D7"/>
    <w:rsid w:val="006772A3"/>
    <w:rsid w:val="00677DD4"/>
    <w:rsid w:val="006842D1"/>
    <w:rsid w:val="006846E5"/>
    <w:rsid w:val="00686D4F"/>
    <w:rsid w:val="00693829"/>
    <w:rsid w:val="006939F0"/>
    <w:rsid w:val="006A2E5F"/>
    <w:rsid w:val="006A5D5D"/>
    <w:rsid w:val="006B5310"/>
    <w:rsid w:val="006C3C7B"/>
    <w:rsid w:val="006C4183"/>
    <w:rsid w:val="006C53B1"/>
    <w:rsid w:val="006C53C7"/>
    <w:rsid w:val="006C6277"/>
    <w:rsid w:val="006D2715"/>
    <w:rsid w:val="006D5AF9"/>
    <w:rsid w:val="006D7A5A"/>
    <w:rsid w:val="006D7D67"/>
    <w:rsid w:val="006E2FD4"/>
    <w:rsid w:val="006E37CA"/>
    <w:rsid w:val="006F439E"/>
    <w:rsid w:val="006F4BC4"/>
    <w:rsid w:val="006F6C57"/>
    <w:rsid w:val="006F7CAD"/>
    <w:rsid w:val="00702CB4"/>
    <w:rsid w:val="0071067A"/>
    <w:rsid w:val="007123DD"/>
    <w:rsid w:val="00714965"/>
    <w:rsid w:val="00723595"/>
    <w:rsid w:val="007279CC"/>
    <w:rsid w:val="00731551"/>
    <w:rsid w:val="00733017"/>
    <w:rsid w:val="00734F6B"/>
    <w:rsid w:val="007372B3"/>
    <w:rsid w:val="00740786"/>
    <w:rsid w:val="007435C7"/>
    <w:rsid w:val="00750CF8"/>
    <w:rsid w:val="00752746"/>
    <w:rsid w:val="00753D34"/>
    <w:rsid w:val="00760620"/>
    <w:rsid w:val="00760EDE"/>
    <w:rsid w:val="007621C6"/>
    <w:rsid w:val="007623EF"/>
    <w:rsid w:val="00765074"/>
    <w:rsid w:val="00765402"/>
    <w:rsid w:val="007663B0"/>
    <w:rsid w:val="007744E0"/>
    <w:rsid w:val="00777269"/>
    <w:rsid w:val="00785AF9"/>
    <w:rsid w:val="00793098"/>
    <w:rsid w:val="007936AC"/>
    <w:rsid w:val="007947E0"/>
    <w:rsid w:val="00795153"/>
    <w:rsid w:val="007A1550"/>
    <w:rsid w:val="007A4523"/>
    <w:rsid w:val="007A56B2"/>
    <w:rsid w:val="007A6866"/>
    <w:rsid w:val="007A7820"/>
    <w:rsid w:val="007B1599"/>
    <w:rsid w:val="007B2152"/>
    <w:rsid w:val="007B43E7"/>
    <w:rsid w:val="007B56C2"/>
    <w:rsid w:val="007B66B3"/>
    <w:rsid w:val="007B70EE"/>
    <w:rsid w:val="007B75E1"/>
    <w:rsid w:val="007C0CBD"/>
    <w:rsid w:val="007C23F6"/>
    <w:rsid w:val="007C3B44"/>
    <w:rsid w:val="007C4EC2"/>
    <w:rsid w:val="007C5D02"/>
    <w:rsid w:val="007C6333"/>
    <w:rsid w:val="007C765D"/>
    <w:rsid w:val="007D4528"/>
    <w:rsid w:val="007E1CB7"/>
    <w:rsid w:val="007E2C0B"/>
    <w:rsid w:val="007E6BC0"/>
    <w:rsid w:val="007F23EE"/>
    <w:rsid w:val="007F35FC"/>
    <w:rsid w:val="007F7580"/>
    <w:rsid w:val="00803211"/>
    <w:rsid w:val="00805254"/>
    <w:rsid w:val="008121D2"/>
    <w:rsid w:val="00812A7D"/>
    <w:rsid w:val="0083022F"/>
    <w:rsid w:val="00830E4A"/>
    <w:rsid w:val="0083572A"/>
    <w:rsid w:val="00835811"/>
    <w:rsid w:val="008418A0"/>
    <w:rsid w:val="008420AE"/>
    <w:rsid w:val="00843460"/>
    <w:rsid w:val="00852340"/>
    <w:rsid w:val="00852F62"/>
    <w:rsid w:val="008661E1"/>
    <w:rsid w:val="00873EB3"/>
    <w:rsid w:val="00873FD7"/>
    <w:rsid w:val="008766DF"/>
    <w:rsid w:val="008771DE"/>
    <w:rsid w:val="00880978"/>
    <w:rsid w:val="0088469A"/>
    <w:rsid w:val="008849D4"/>
    <w:rsid w:val="00894B4B"/>
    <w:rsid w:val="008A166C"/>
    <w:rsid w:val="008A2A45"/>
    <w:rsid w:val="008A3BCD"/>
    <w:rsid w:val="008A4BE5"/>
    <w:rsid w:val="008B2705"/>
    <w:rsid w:val="008B2CF4"/>
    <w:rsid w:val="008B2E31"/>
    <w:rsid w:val="008B3834"/>
    <w:rsid w:val="008B3CAF"/>
    <w:rsid w:val="008B6746"/>
    <w:rsid w:val="008C0A5C"/>
    <w:rsid w:val="008C2949"/>
    <w:rsid w:val="008C59CB"/>
    <w:rsid w:val="008D02AD"/>
    <w:rsid w:val="008D3599"/>
    <w:rsid w:val="008D5527"/>
    <w:rsid w:val="008D5E62"/>
    <w:rsid w:val="008E2206"/>
    <w:rsid w:val="008E54FD"/>
    <w:rsid w:val="008F3D6D"/>
    <w:rsid w:val="008F4AC4"/>
    <w:rsid w:val="008F59BD"/>
    <w:rsid w:val="0090514D"/>
    <w:rsid w:val="00911720"/>
    <w:rsid w:val="00911B50"/>
    <w:rsid w:val="0091550E"/>
    <w:rsid w:val="009168AC"/>
    <w:rsid w:val="00920762"/>
    <w:rsid w:val="0092179B"/>
    <w:rsid w:val="00921ABC"/>
    <w:rsid w:val="009249AF"/>
    <w:rsid w:val="009249E7"/>
    <w:rsid w:val="009255EE"/>
    <w:rsid w:val="00931315"/>
    <w:rsid w:val="00935185"/>
    <w:rsid w:val="0094336F"/>
    <w:rsid w:val="00952971"/>
    <w:rsid w:val="00955800"/>
    <w:rsid w:val="00960840"/>
    <w:rsid w:val="009770A9"/>
    <w:rsid w:val="00977D8A"/>
    <w:rsid w:val="00990842"/>
    <w:rsid w:val="00990B4E"/>
    <w:rsid w:val="00993F63"/>
    <w:rsid w:val="009951DA"/>
    <w:rsid w:val="00995377"/>
    <w:rsid w:val="00997226"/>
    <w:rsid w:val="009A0E28"/>
    <w:rsid w:val="009B0F46"/>
    <w:rsid w:val="009B152F"/>
    <w:rsid w:val="009B1999"/>
    <w:rsid w:val="009B26F8"/>
    <w:rsid w:val="009B73DD"/>
    <w:rsid w:val="009C24DC"/>
    <w:rsid w:val="009C280F"/>
    <w:rsid w:val="009C5F83"/>
    <w:rsid w:val="009C6912"/>
    <w:rsid w:val="009C7DD2"/>
    <w:rsid w:val="009D326B"/>
    <w:rsid w:val="009D3EA7"/>
    <w:rsid w:val="009E0E7F"/>
    <w:rsid w:val="009E2B06"/>
    <w:rsid w:val="009E5C82"/>
    <w:rsid w:val="009F031F"/>
    <w:rsid w:val="009F55E5"/>
    <w:rsid w:val="009F60C1"/>
    <w:rsid w:val="00A033BF"/>
    <w:rsid w:val="00A03DD7"/>
    <w:rsid w:val="00A13A2F"/>
    <w:rsid w:val="00A22C2A"/>
    <w:rsid w:val="00A27491"/>
    <w:rsid w:val="00A31FC3"/>
    <w:rsid w:val="00A32961"/>
    <w:rsid w:val="00A33BEF"/>
    <w:rsid w:val="00A35E64"/>
    <w:rsid w:val="00A370E0"/>
    <w:rsid w:val="00A44221"/>
    <w:rsid w:val="00A464CA"/>
    <w:rsid w:val="00A47792"/>
    <w:rsid w:val="00A51F0B"/>
    <w:rsid w:val="00A53A2F"/>
    <w:rsid w:val="00A54721"/>
    <w:rsid w:val="00A6192E"/>
    <w:rsid w:val="00A62668"/>
    <w:rsid w:val="00A641E1"/>
    <w:rsid w:val="00A661BC"/>
    <w:rsid w:val="00A66F4D"/>
    <w:rsid w:val="00A70826"/>
    <w:rsid w:val="00A74B6B"/>
    <w:rsid w:val="00A7523B"/>
    <w:rsid w:val="00A75A2C"/>
    <w:rsid w:val="00A77596"/>
    <w:rsid w:val="00A77977"/>
    <w:rsid w:val="00A87DB6"/>
    <w:rsid w:val="00A93122"/>
    <w:rsid w:val="00AA2C9B"/>
    <w:rsid w:val="00AA32A7"/>
    <w:rsid w:val="00AB425D"/>
    <w:rsid w:val="00AB54E4"/>
    <w:rsid w:val="00AB563D"/>
    <w:rsid w:val="00AB79CA"/>
    <w:rsid w:val="00AC00E4"/>
    <w:rsid w:val="00AC1A9B"/>
    <w:rsid w:val="00AC4329"/>
    <w:rsid w:val="00AC4852"/>
    <w:rsid w:val="00AC7AD2"/>
    <w:rsid w:val="00AD58EC"/>
    <w:rsid w:val="00AD622F"/>
    <w:rsid w:val="00AE622C"/>
    <w:rsid w:val="00AE6E48"/>
    <w:rsid w:val="00AF1731"/>
    <w:rsid w:val="00B04227"/>
    <w:rsid w:val="00B064E0"/>
    <w:rsid w:val="00B06901"/>
    <w:rsid w:val="00B06DC1"/>
    <w:rsid w:val="00B115BC"/>
    <w:rsid w:val="00B1224C"/>
    <w:rsid w:val="00B14B4E"/>
    <w:rsid w:val="00B15906"/>
    <w:rsid w:val="00B20F10"/>
    <w:rsid w:val="00B3165B"/>
    <w:rsid w:val="00B31F5F"/>
    <w:rsid w:val="00B32562"/>
    <w:rsid w:val="00B32FDD"/>
    <w:rsid w:val="00B44AE2"/>
    <w:rsid w:val="00B45B53"/>
    <w:rsid w:val="00B46A61"/>
    <w:rsid w:val="00B54CDB"/>
    <w:rsid w:val="00B6025A"/>
    <w:rsid w:val="00B606DE"/>
    <w:rsid w:val="00B61B6B"/>
    <w:rsid w:val="00B6315C"/>
    <w:rsid w:val="00B63A24"/>
    <w:rsid w:val="00B752C9"/>
    <w:rsid w:val="00B76D4F"/>
    <w:rsid w:val="00B76F12"/>
    <w:rsid w:val="00B80D0A"/>
    <w:rsid w:val="00B811D9"/>
    <w:rsid w:val="00B82234"/>
    <w:rsid w:val="00B830C2"/>
    <w:rsid w:val="00B832E3"/>
    <w:rsid w:val="00B834C7"/>
    <w:rsid w:val="00B86B38"/>
    <w:rsid w:val="00B918CD"/>
    <w:rsid w:val="00B942DC"/>
    <w:rsid w:val="00B969B6"/>
    <w:rsid w:val="00B9769A"/>
    <w:rsid w:val="00BA0FA5"/>
    <w:rsid w:val="00BA4895"/>
    <w:rsid w:val="00BA4AAB"/>
    <w:rsid w:val="00BA5635"/>
    <w:rsid w:val="00BA7A7E"/>
    <w:rsid w:val="00BB1A42"/>
    <w:rsid w:val="00BB54BB"/>
    <w:rsid w:val="00BC286A"/>
    <w:rsid w:val="00BC55D2"/>
    <w:rsid w:val="00BD25A7"/>
    <w:rsid w:val="00BD7E7B"/>
    <w:rsid w:val="00BD7F25"/>
    <w:rsid w:val="00BE000A"/>
    <w:rsid w:val="00BE230C"/>
    <w:rsid w:val="00BE28DF"/>
    <w:rsid w:val="00BE295D"/>
    <w:rsid w:val="00BE3989"/>
    <w:rsid w:val="00BF344B"/>
    <w:rsid w:val="00C10249"/>
    <w:rsid w:val="00C14882"/>
    <w:rsid w:val="00C21869"/>
    <w:rsid w:val="00C218AA"/>
    <w:rsid w:val="00C240B6"/>
    <w:rsid w:val="00C24580"/>
    <w:rsid w:val="00C32491"/>
    <w:rsid w:val="00C335C8"/>
    <w:rsid w:val="00C35EBD"/>
    <w:rsid w:val="00C40A23"/>
    <w:rsid w:val="00C47929"/>
    <w:rsid w:val="00C511D7"/>
    <w:rsid w:val="00C62A66"/>
    <w:rsid w:val="00C80431"/>
    <w:rsid w:val="00C81153"/>
    <w:rsid w:val="00C81F78"/>
    <w:rsid w:val="00C9182B"/>
    <w:rsid w:val="00C93AB6"/>
    <w:rsid w:val="00CA109E"/>
    <w:rsid w:val="00CB6817"/>
    <w:rsid w:val="00CC0872"/>
    <w:rsid w:val="00CC2D7F"/>
    <w:rsid w:val="00CC2F0A"/>
    <w:rsid w:val="00CD156E"/>
    <w:rsid w:val="00CD3B30"/>
    <w:rsid w:val="00CD4B05"/>
    <w:rsid w:val="00CD5090"/>
    <w:rsid w:val="00CE1598"/>
    <w:rsid w:val="00CE2F3E"/>
    <w:rsid w:val="00CE399E"/>
    <w:rsid w:val="00CF0CC5"/>
    <w:rsid w:val="00CF16E7"/>
    <w:rsid w:val="00CF315E"/>
    <w:rsid w:val="00CF4237"/>
    <w:rsid w:val="00CF42C8"/>
    <w:rsid w:val="00D0191F"/>
    <w:rsid w:val="00D02FB4"/>
    <w:rsid w:val="00D06469"/>
    <w:rsid w:val="00D071D1"/>
    <w:rsid w:val="00D10ABC"/>
    <w:rsid w:val="00D12076"/>
    <w:rsid w:val="00D1236A"/>
    <w:rsid w:val="00D128A3"/>
    <w:rsid w:val="00D14246"/>
    <w:rsid w:val="00D21BDB"/>
    <w:rsid w:val="00D23802"/>
    <w:rsid w:val="00D25BAF"/>
    <w:rsid w:val="00D25D86"/>
    <w:rsid w:val="00D25E5A"/>
    <w:rsid w:val="00D260E1"/>
    <w:rsid w:val="00D2753B"/>
    <w:rsid w:val="00D302FB"/>
    <w:rsid w:val="00D31513"/>
    <w:rsid w:val="00D35B55"/>
    <w:rsid w:val="00D417C6"/>
    <w:rsid w:val="00D42AC3"/>
    <w:rsid w:val="00D44A4D"/>
    <w:rsid w:val="00D44BA9"/>
    <w:rsid w:val="00D52C86"/>
    <w:rsid w:val="00D52C8F"/>
    <w:rsid w:val="00D5309C"/>
    <w:rsid w:val="00D60363"/>
    <w:rsid w:val="00D6173C"/>
    <w:rsid w:val="00D61B80"/>
    <w:rsid w:val="00D6436A"/>
    <w:rsid w:val="00D64E84"/>
    <w:rsid w:val="00D65445"/>
    <w:rsid w:val="00D75C09"/>
    <w:rsid w:val="00D76590"/>
    <w:rsid w:val="00D776C6"/>
    <w:rsid w:val="00D87E68"/>
    <w:rsid w:val="00D939DE"/>
    <w:rsid w:val="00D94B7D"/>
    <w:rsid w:val="00DA046F"/>
    <w:rsid w:val="00DA0E50"/>
    <w:rsid w:val="00DA1464"/>
    <w:rsid w:val="00DA34CC"/>
    <w:rsid w:val="00DA41CA"/>
    <w:rsid w:val="00DA7593"/>
    <w:rsid w:val="00DB180B"/>
    <w:rsid w:val="00DC0FB1"/>
    <w:rsid w:val="00DC474B"/>
    <w:rsid w:val="00DC495A"/>
    <w:rsid w:val="00DC6BE0"/>
    <w:rsid w:val="00DD05A6"/>
    <w:rsid w:val="00DD330F"/>
    <w:rsid w:val="00DD3364"/>
    <w:rsid w:val="00DD57B8"/>
    <w:rsid w:val="00DE378F"/>
    <w:rsid w:val="00DF243E"/>
    <w:rsid w:val="00DF53D1"/>
    <w:rsid w:val="00DF6022"/>
    <w:rsid w:val="00E004E7"/>
    <w:rsid w:val="00E06A9E"/>
    <w:rsid w:val="00E12643"/>
    <w:rsid w:val="00E14B26"/>
    <w:rsid w:val="00E16680"/>
    <w:rsid w:val="00E2275E"/>
    <w:rsid w:val="00E3376D"/>
    <w:rsid w:val="00E41A4C"/>
    <w:rsid w:val="00E44744"/>
    <w:rsid w:val="00E4505F"/>
    <w:rsid w:val="00E45DC3"/>
    <w:rsid w:val="00E46E69"/>
    <w:rsid w:val="00E47E7D"/>
    <w:rsid w:val="00E52C04"/>
    <w:rsid w:val="00E54167"/>
    <w:rsid w:val="00E66158"/>
    <w:rsid w:val="00E66C9B"/>
    <w:rsid w:val="00E702FB"/>
    <w:rsid w:val="00E7043D"/>
    <w:rsid w:val="00E71632"/>
    <w:rsid w:val="00E779FC"/>
    <w:rsid w:val="00E8381A"/>
    <w:rsid w:val="00E85451"/>
    <w:rsid w:val="00E86C2D"/>
    <w:rsid w:val="00E92C12"/>
    <w:rsid w:val="00E94671"/>
    <w:rsid w:val="00E94EB2"/>
    <w:rsid w:val="00E979B5"/>
    <w:rsid w:val="00EB1EF1"/>
    <w:rsid w:val="00EB418E"/>
    <w:rsid w:val="00EB4BEF"/>
    <w:rsid w:val="00EC0BDA"/>
    <w:rsid w:val="00EC6793"/>
    <w:rsid w:val="00ED2DBB"/>
    <w:rsid w:val="00ED3AB2"/>
    <w:rsid w:val="00ED3EC6"/>
    <w:rsid w:val="00ED57FE"/>
    <w:rsid w:val="00EE0383"/>
    <w:rsid w:val="00EE0671"/>
    <w:rsid w:val="00EE71D3"/>
    <w:rsid w:val="00EF2C89"/>
    <w:rsid w:val="00EF4B98"/>
    <w:rsid w:val="00EF5713"/>
    <w:rsid w:val="00EF675F"/>
    <w:rsid w:val="00F02CAF"/>
    <w:rsid w:val="00F0373D"/>
    <w:rsid w:val="00F13FC5"/>
    <w:rsid w:val="00F15B95"/>
    <w:rsid w:val="00F17DBC"/>
    <w:rsid w:val="00F225C8"/>
    <w:rsid w:val="00F23FCF"/>
    <w:rsid w:val="00F4056A"/>
    <w:rsid w:val="00F41051"/>
    <w:rsid w:val="00F43AE0"/>
    <w:rsid w:val="00F43FD3"/>
    <w:rsid w:val="00F5156E"/>
    <w:rsid w:val="00F517FE"/>
    <w:rsid w:val="00F518EA"/>
    <w:rsid w:val="00F55624"/>
    <w:rsid w:val="00F558C8"/>
    <w:rsid w:val="00F573A5"/>
    <w:rsid w:val="00F61F58"/>
    <w:rsid w:val="00F634EA"/>
    <w:rsid w:val="00F7183E"/>
    <w:rsid w:val="00F746A7"/>
    <w:rsid w:val="00F81126"/>
    <w:rsid w:val="00F869D7"/>
    <w:rsid w:val="00F8765E"/>
    <w:rsid w:val="00F938E7"/>
    <w:rsid w:val="00F955EA"/>
    <w:rsid w:val="00FA01B8"/>
    <w:rsid w:val="00FA0434"/>
    <w:rsid w:val="00FB2BDF"/>
    <w:rsid w:val="00FC0384"/>
    <w:rsid w:val="00FC6FBB"/>
    <w:rsid w:val="00FD1448"/>
    <w:rsid w:val="00FD5C2D"/>
    <w:rsid w:val="00FE53EB"/>
    <w:rsid w:val="00FE7169"/>
    <w:rsid w:val="00FE79F8"/>
    <w:rsid w:val="00FF374D"/>
    <w:rsid w:val="00FF41EC"/>
    <w:rsid w:val="00FF4A01"/>
    <w:rsid w:val="00FF7A93"/>
    <w:rsid w:val="02B3005E"/>
    <w:rsid w:val="05326390"/>
    <w:rsid w:val="07C21CBB"/>
    <w:rsid w:val="08CB2746"/>
    <w:rsid w:val="0E313657"/>
    <w:rsid w:val="0E8B2DCD"/>
    <w:rsid w:val="11140D0D"/>
    <w:rsid w:val="13220D35"/>
    <w:rsid w:val="14BD7A7B"/>
    <w:rsid w:val="15C47445"/>
    <w:rsid w:val="1730195F"/>
    <w:rsid w:val="1A0704CB"/>
    <w:rsid w:val="2E6764C9"/>
    <w:rsid w:val="2FAA2B11"/>
    <w:rsid w:val="37042751"/>
    <w:rsid w:val="39810D86"/>
    <w:rsid w:val="3B976570"/>
    <w:rsid w:val="3E7519AB"/>
    <w:rsid w:val="437D46D3"/>
    <w:rsid w:val="43837BF3"/>
    <w:rsid w:val="43CA03C9"/>
    <w:rsid w:val="44AC48CF"/>
    <w:rsid w:val="486215CF"/>
    <w:rsid w:val="4C1F2A88"/>
    <w:rsid w:val="4CD75811"/>
    <w:rsid w:val="56616849"/>
    <w:rsid w:val="59AC3AB2"/>
    <w:rsid w:val="5D2E729C"/>
    <w:rsid w:val="5ED51227"/>
    <w:rsid w:val="5EEE3F19"/>
    <w:rsid w:val="5FF732A1"/>
    <w:rsid w:val="63A35141"/>
    <w:rsid w:val="6471114E"/>
    <w:rsid w:val="64C16D8E"/>
    <w:rsid w:val="66BB049A"/>
    <w:rsid w:val="6AD5511B"/>
    <w:rsid w:val="6DA22A9E"/>
    <w:rsid w:val="72B91454"/>
    <w:rsid w:val="73904ACB"/>
    <w:rsid w:val="756E47CA"/>
    <w:rsid w:val="7BF5672D"/>
    <w:rsid w:val="7C623126"/>
    <w:rsid w:val="7EC85D8C"/>
    <w:rsid w:val="7EE9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unhideWhenUsed/>
    <w:qFormat/>
    <w:uiPriority w:val="0"/>
    <w:pPr>
      <w:jc w:val="left"/>
    </w:pPr>
  </w:style>
  <w:style w:type="paragraph" w:styleId="4">
    <w:name w:val="Body Text"/>
    <w:basedOn w:val="1"/>
    <w:next w:val="1"/>
    <w:qFormat/>
    <w:uiPriority w:val="0"/>
    <w:pPr>
      <w:spacing w:after="120"/>
    </w:pPr>
    <w:rPr>
      <w:rFonts w:ascii="Times New Roman" w:hAnsi="Times New Roman"/>
      <w:kern w:val="0"/>
      <w:sz w:val="20"/>
      <w:szCs w:val="24"/>
    </w:rPr>
  </w:style>
  <w:style w:type="paragraph" w:styleId="5">
    <w:name w:val="Body Text Indent"/>
    <w:basedOn w:val="1"/>
    <w:qFormat/>
    <w:uiPriority w:val="0"/>
    <w:pPr>
      <w:widowControl/>
      <w:spacing w:before="43" w:line="360" w:lineRule="auto"/>
      <w:ind w:firstLine="3920" w:firstLineChars="1400"/>
    </w:pPr>
    <w:rPr>
      <w:rFonts w:ascii="宋体" w:hAnsi="宋体"/>
      <w:sz w:val="28"/>
    </w:rPr>
  </w:style>
  <w:style w:type="paragraph" w:styleId="6">
    <w:name w:val="Plain Text"/>
    <w:basedOn w:val="1"/>
    <w:link w:val="25"/>
    <w:qFormat/>
    <w:uiPriority w:val="0"/>
    <w:rPr>
      <w:rFonts w:ascii="宋体" w:hAnsi="Courier New"/>
      <w:szCs w:val="21"/>
    </w:rPr>
  </w:style>
  <w:style w:type="paragraph" w:styleId="7">
    <w:name w:val="Body Text Indent 2"/>
    <w:basedOn w:val="1"/>
    <w:link w:val="30"/>
    <w:qFormat/>
    <w:uiPriority w:val="0"/>
    <w:pPr>
      <w:ind w:firstLine="482" w:firstLineChars="200"/>
    </w:pPr>
    <w:rPr>
      <w:rFonts w:ascii="宋体"/>
      <w:b/>
      <w:bCs/>
      <w:sz w:val="24"/>
    </w:rPr>
  </w:style>
  <w:style w:type="paragraph" w:styleId="8">
    <w:name w:val="Balloon Text"/>
    <w:basedOn w:val="1"/>
    <w:link w:val="24"/>
    <w:qFormat/>
    <w:uiPriority w:val="0"/>
    <w:rPr>
      <w:sz w:val="18"/>
      <w:szCs w:val="18"/>
    </w:rPr>
  </w:style>
  <w:style w:type="paragraph" w:styleId="9">
    <w:name w:val="footer"/>
    <w:basedOn w:val="1"/>
    <w:link w:val="32"/>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widowControl/>
      <w:ind w:left="420" w:hanging="420"/>
    </w:pPr>
    <w:rPr>
      <w:rFonts w:ascii="宋体" w:hAnsi="Calibri"/>
      <w:kern w:val="0"/>
      <w:sz w:val="22"/>
      <w:szCs w:val="20"/>
    </w:rPr>
  </w:style>
  <w:style w:type="paragraph" w:styleId="12">
    <w:name w:val="footnote text"/>
    <w:basedOn w:val="1"/>
    <w:link w:val="31"/>
    <w:semiHidden/>
    <w:unhideWhenUsed/>
    <w:qFormat/>
    <w:uiPriority w:val="0"/>
    <w:pPr>
      <w:snapToGrid w:val="0"/>
      <w:jc w:val="left"/>
    </w:pPr>
    <w:rPr>
      <w:sz w:val="18"/>
      <w:szCs w:val="18"/>
    </w:rPr>
  </w:style>
  <w:style w:type="paragraph" w:styleId="13">
    <w:name w:val="Body Text Indent 3"/>
    <w:basedOn w:val="1"/>
    <w:qFormat/>
    <w:uiPriority w:val="0"/>
    <w:pPr>
      <w:adjustRightInd w:val="0"/>
      <w:snapToGrid w:val="0"/>
      <w:spacing w:line="300" w:lineRule="auto"/>
      <w:ind w:left="2"/>
    </w:pPr>
    <w:rPr>
      <w:rFonts w:eastAsia="仿宋_GB2312"/>
      <w:snapToGrid w:val="0"/>
      <w:sz w:val="32"/>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3"/>
    <w:next w:val="3"/>
    <w:link w:val="29"/>
    <w:semiHidden/>
    <w:unhideWhenUsed/>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unhideWhenUsed/>
    <w:qFormat/>
    <w:uiPriority w:val="0"/>
    <w:rPr>
      <w:color w:val="0000FF" w:themeColor="hyperlink"/>
      <w:u w:val="single"/>
      <w14:textFill>
        <w14:solidFill>
          <w14:schemeClr w14:val="hlink"/>
        </w14:solidFill>
      </w14:textFill>
    </w:rPr>
  </w:style>
  <w:style w:type="character" w:styleId="22">
    <w:name w:val="annotation reference"/>
    <w:basedOn w:val="18"/>
    <w:semiHidden/>
    <w:unhideWhenUsed/>
    <w:qFormat/>
    <w:uiPriority w:val="0"/>
    <w:rPr>
      <w:sz w:val="21"/>
      <w:szCs w:val="21"/>
    </w:rPr>
  </w:style>
  <w:style w:type="character" w:styleId="23">
    <w:name w:val="footnote reference"/>
    <w:basedOn w:val="18"/>
    <w:semiHidden/>
    <w:unhideWhenUsed/>
    <w:qFormat/>
    <w:uiPriority w:val="0"/>
    <w:rPr>
      <w:vertAlign w:val="superscript"/>
    </w:rPr>
  </w:style>
  <w:style w:type="character" w:customStyle="1" w:styleId="24">
    <w:name w:val="批注框文本 字符"/>
    <w:basedOn w:val="18"/>
    <w:link w:val="8"/>
    <w:qFormat/>
    <w:uiPriority w:val="0"/>
    <w:rPr>
      <w:kern w:val="2"/>
      <w:sz w:val="18"/>
      <w:szCs w:val="18"/>
    </w:rPr>
  </w:style>
  <w:style w:type="character" w:customStyle="1" w:styleId="25">
    <w:name w:val="纯文本 字符"/>
    <w:basedOn w:val="18"/>
    <w:link w:val="6"/>
    <w:qFormat/>
    <w:uiPriority w:val="0"/>
    <w:rPr>
      <w:rFonts w:ascii="宋体" w:hAnsi="Courier New"/>
      <w:kern w:val="2"/>
      <w:sz w:val="21"/>
      <w:szCs w:val="21"/>
    </w:rPr>
  </w:style>
  <w:style w:type="paragraph" w:customStyle="1" w:styleId="26">
    <w:name w:val="修订1"/>
    <w:semiHidden/>
    <w:qFormat/>
    <w:uiPriority w:val="99"/>
    <w:rPr>
      <w:rFonts w:ascii="Times New Roman" w:hAnsi="Times New Roman" w:eastAsia="宋体" w:cs="Times New Roman"/>
      <w:kern w:val="2"/>
      <w:sz w:val="21"/>
      <w:szCs w:val="24"/>
      <w:lang w:val="en-US" w:eastAsia="zh-CN" w:bidi="ar-SA"/>
    </w:rPr>
  </w:style>
  <w:style w:type="paragraph" w:styleId="27">
    <w:name w:val="List Paragraph"/>
    <w:basedOn w:val="1"/>
    <w:qFormat/>
    <w:uiPriority w:val="34"/>
    <w:pPr>
      <w:ind w:firstLine="420" w:firstLineChars="200"/>
    </w:pPr>
  </w:style>
  <w:style w:type="character" w:customStyle="1" w:styleId="28">
    <w:name w:val="批注文字 字符"/>
    <w:basedOn w:val="18"/>
    <w:link w:val="3"/>
    <w:qFormat/>
    <w:uiPriority w:val="0"/>
    <w:rPr>
      <w:kern w:val="2"/>
      <w:sz w:val="21"/>
      <w:szCs w:val="24"/>
    </w:rPr>
  </w:style>
  <w:style w:type="character" w:customStyle="1" w:styleId="29">
    <w:name w:val="批注主题 字符"/>
    <w:basedOn w:val="28"/>
    <w:link w:val="15"/>
    <w:semiHidden/>
    <w:qFormat/>
    <w:uiPriority w:val="0"/>
    <w:rPr>
      <w:b/>
      <w:bCs/>
      <w:kern w:val="2"/>
      <w:sz w:val="21"/>
      <w:szCs w:val="24"/>
    </w:rPr>
  </w:style>
  <w:style w:type="character" w:customStyle="1" w:styleId="30">
    <w:name w:val="正文文本缩进 2 字符"/>
    <w:basedOn w:val="18"/>
    <w:link w:val="7"/>
    <w:qFormat/>
    <w:uiPriority w:val="0"/>
    <w:rPr>
      <w:rFonts w:ascii="宋体"/>
      <w:b/>
      <w:bCs/>
      <w:kern w:val="2"/>
      <w:sz w:val="24"/>
      <w:szCs w:val="24"/>
    </w:rPr>
  </w:style>
  <w:style w:type="character" w:customStyle="1" w:styleId="31">
    <w:name w:val="脚注文本 字符"/>
    <w:basedOn w:val="18"/>
    <w:link w:val="12"/>
    <w:semiHidden/>
    <w:qFormat/>
    <w:uiPriority w:val="0"/>
    <w:rPr>
      <w:kern w:val="2"/>
      <w:sz w:val="18"/>
      <w:szCs w:val="18"/>
    </w:rPr>
  </w:style>
  <w:style w:type="character" w:customStyle="1" w:styleId="32">
    <w:name w:val="页脚 字符"/>
    <w:basedOn w:val="18"/>
    <w:link w:val="9"/>
    <w:qFormat/>
    <w:uiPriority w:val="99"/>
    <w:rPr>
      <w:kern w:val="2"/>
      <w:sz w:val="18"/>
      <w:szCs w:val="18"/>
    </w:rPr>
  </w:style>
  <w:style w:type="character" w:customStyle="1" w:styleId="33">
    <w:name w:val="标题 1 字符"/>
    <w:basedOn w:val="18"/>
    <w:link w:val="2"/>
    <w:qFormat/>
    <w:uiPriority w:val="0"/>
    <w:rPr>
      <w:b/>
      <w:bCs/>
      <w:kern w:val="44"/>
      <w:sz w:val="44"/>
      <w:szCs w:val="44"/>
    </w:rPr>
  </w:style>
  <w:style w:type="paragraph" w:customStyle="1" w:styleId="34">
    <w:name w:val="Fließtext"/>
    <w:basedOn w:val="1"/>
    <w:qFormat/>
    <w:uiPriority w:val="0"/>
    <w:pPr>
      <w:overflowPunct w:val="0"/>
      <w:autoSpaceDE w:val="0"/>
      <w:autoSpaceDN w:val="0"/>
      <w:adjustRightInd w:val="0"/>
      <w:spacing w:line="360" w:lineRule="auto"/>
      <w:textAlignment w:val="baseline"/>
    </w:pPr>
    <w:rPr>
      <w:rFonts w:ascii="宋体" w:hAnsi="宋体" w:eastAsia="仿宋_GB2312"/>
      <w:kern w:val="28"/>
      <w:szCs w:val="20"/>
    </w:rPr>
  </w:style>
  <w:style w:type="paragraph" w:customStyle="1" w:styleId="35">
    <w:name w:val="Default"/>
    <w:qFormat/>
    <w:uiPriority w:val="99"/>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36">
    <w:name w:val="列出段落1"/>
    <w:basedOn w:val="1"/>
    <w:unhideWhenUsed/>
    <w:qFormat/>
    <w:uiPriority w:val="99"/>
    <w:pPr>
      <w:ind w:firstLine="420" w:firstLineChars="200"/>
    </w:pPr>
  </w:style>
  <w:style w:type="character" w:customStyle="1" w:styleId="37">
    <w:name w:val="font21"/>
    <w:basedOn w:val="18"/>
    <w:qFormat/>
    <w:uiPriority w:val="0"/>
    <w:rPr>
      <w:rFonts w:hint="default" w:ascii="黑体" w:hAnsi="宋体" w:eastAsia="黑体" w:cs="黑体"/>
      <w:b/>
      <w:bCs/>
      <w:color w:val="000000"/>
      <w:sz w:val="22"/>
      <w:szCs w:val="22"/>
      <w:u w:val="none"/>
    </w:rPr>
  </w:style>
  <w:style w:type="character" w:customStyle="1" w:styleId="38">
    <w:name w:val="font61"/>
    <w:basedOn w:val="18"/>
    <w:qFormat/>
    <w:uiPriority w:val="0"/>
    <w:rPr>
      <w:rFonts w:hint="eastAsia" w:ascii="宋体" w:hAnsi="宋体" w:eastAsia="宋体" w:cs="宋体"/>
      <w:b/>
      <w:bCs/>
      <w:color w:val="000000"/>
      <w:sz w:val="22"/>
      <w:szCs w:val="22"/>
      <w:u w:val="none"/>
    </w:rPr>
  </w:style>
  <w:style w:type="character" w:customStyle="1" w:styleId="39">
    <w:name w:val="font71"/>
    <w:basedOn w:val="18"/>
    <w:qFormat/>
    <w:uiPriority w:val="0"/>
    <w:rPr>
      <w:rFonts w:hint="eastAsia" w:ascii="宋体" w:hAnsi="宋体" w:eastAsia="宋体" w:cs="宋体"/>
      <w:color w:val="000000"/>
      <w:sz w:val="20"/>
      <w:szCs w:val="20"/>
      <w:u w:val="none"/>
    </w:rPr>
  </w:style>
  <w:style w:type="character" w:customStyle="1" w:styleId="40">
    <w:name w:val="font81"/>
    <w:basedOn w:val="18"/>
    <w:qFormat/>
    <w:uiPriority w:val="0"/>
    <w:rPr>
      <w:rFonts w:hint="default" w:ascii="黑体" w:hAnsi="宋体" w:eastAsia="黑体" w:cs="黑体"/>
      <w:color w:val="FF0000"/>
      <w:sz w:val="18"/>
      <w:szCs w:val="18"/>
      <w:u w:val="none"/>
    </w:rPr>
  </w:style>
  <w:style w:type="character" w:customStyle="1" w:styleId="41">
    <w:name w:val="font91"/>
    <w:basedOn w:val="1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0A2E-E343-475E-AEE4-4595E80CA26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7775</Words>
  <Characters>8233</Characters>
  <Lines>72</Lines>
  <Paragraphs>20</Paragraphs>
  <TotalTime>234</TotalTime>
  <ScaleCrop>false</ScaleCrop>
  <LinksUpToDate>false</LinksUpToDate>
  <CharactersWithSpaces>9313</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2016-12-29T12:50:00Z</dcterms:created>
  <dc:creator>USER</dc:creator>
  <cp:lastModifiedBy>仓鼠球</cp:lastModifiedBy>
  <dcterms:modified xsi:type="dcterms:W3CDTF">2026-04-15T06:05:17Z</dcterms:modified>
  <dc:title>招标编号：zb2011QT</dc:title>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B3681BA5B74F4176965EEAFA4D7A105D_13</vt:lpwstr>
  </property>
  <property fmtid="{D5CDD505-2E9C-101B-9397-08002B2CF9AE}" pid="4" name="KSOTemplateDocerSaveRecord">
    <vt:lpwstr>eyJoZGlkIjoiMDNkZjVkZjFmZWZhZDlmZWIwYWViMTdmYTZkNDY1MGIiLCJ1c2VySWQiOiI2OTY3MDAyODYifQ==</vt:lpwstr>
  </property>
</Properties>
</file>